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Role of Governmental Venture Capital in the Venture Capital Ecosystem: An Organizational Ecology Perspective - Fabio Bertoni, Massimo G. Colombo, Anita Quas, 2019</w:t>
      </w:r>
      <w:br/>
      <w:hyperlink r:id="rId7" w:history="1">
        <w:r>
          <w:rPr>
            <w:color w:val="2980b9"/>
            <w:u w:val="single"/>
          </w:rPr>
          <w:t xml:space="preserve">https://journals.sagepub.com/doi/abs/10.1177/1042258717735303</w:t>
        </w:r>
      </w:hyperlink>
    </w:p>
    <w:p>
      <w:pPr>
        <w:pStyle w:val="Heading1"/>
      </w:pPr>
      <w:bookmarkStart w:id="2" w:name="_Toc2"/>
      <w:r>
        <w:t>Article summary:</w:t>
      </w:r>
      <w:bookmarkEnd w:id="2"/>
    </w:p>
    <w:p>
      <w:pPr>
        <w:jc w:val="both"/>
      </w:pPr>
      <w:r>
        <w:rPr/>
        <w:t xml:space="preserve">1. 本文使用组织生态学理论研究政府风险投资（GVC）对私人风险投资（PVC）的投资行为产生的影响。</w:t>
      </w:r>
    </w:p>
    <w:p>
      <w:pPr>
        <w:jc w:val="both"/>
      </w:pPr>
      <w:r>
        <w:rPr/>
        <w:t xml:space="preserve">2. GVC和PVC是不同的组织类型，它们在创业投资生态系统中占据不同的生态位，GVC旨在与PVC建立互惠关系。</w:t>
      </w:r>
    </w:p>
    <w:p>
      <w:pPr>
        <w:jc w:val="both"/>
      </w:pPr>
      <w:r>
        <w:rPr/>
        <w:t xml:space="preserve">3. 研究发现，在公司、行业和地区等多个层面上，GVC的存在会吸引更多的PVC投资者进入其生态位。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作为一篇研究政府风险投资在风险投资生态系统中的角色的文章，本文提供了有价值的信息和见解。然而，在对其进行批判性分析时，我们也可以发现一些潜在的偏见和缺失。</w:t>
      </w:r>
    </w:p>
    <w:p>
      <w:pPr>
        <w:jc w:val="both"/>
      </w:pPr>
      <w:r>
        <w:rPr/>
        <w:t xml:space="preserve"/>
      </w:r>
    </w:p>
    <w:p>
      <w:pPr>
        <w:jc w:val="both"/>
      </w:pPr>
      <w:r>
        <w:rPr/>
        <w:t xml:space="preserve">首先，本文可能存在政治偏见。作者没有探讨政府风险投资是否应该存在或是否应该被视为一个必要的组成部分。相反，他们默认政府风险投资是必要的，并试图证明它对私人风险投资产生积极影响。这种偏见可能会导致作者忽略了其他可能存在的选择，并且未能考虑到政府干预可能带来的负面影响。</w:t>
      </w:r>
    </w:p>
    <w:p>
      <w:pPr>
        <w:jc w:val="both"/>
      </w:pPr>
      <w:r>
        <w:rPr/>
        <w:t xml:space="preserve"/>
      </w:r>
    </w:p>
    <w:p>
      <w:pPr>
        <w:jc w:val="both"/>
      </w:pPr>
      <w:r>
        <w:rPr/>
        <w:t xml:space="preserve">其次，本文可能存在数据片面报道问题。作者只考虑了欧洲地区的数据，并未涵盖全球范围内的情况。此外，作者只关注了特定领域（如生物技术）和特定地区（如竞争力），这可能导致结果不够全面和普适。</w:t>
      </w:r>
    </w:p>
    <w:p>
      <w:pPr>
        <w:jc w:val="both"/>
      </w:pPr>
      <w:r>
        <w:rPr/>
        <w:t xml:space="preserve"/>
      </w:r>
    </w:p>
    <w:p>
      <w:pPr>
        <w:jc w:val="both"/>
      </w:pPr>
      <w:r>
        <w:rPr/>
        <w:t xml:space="preserve">第三，本文提出了一些主张但未提供足够证据支持这些主张。例如，作者声称政府风险投资可以吸引私人风险投资者进入其领域，但并没有提供充分证据来支持这个观点。</w:t>
      </w:r>
    </w:p>
    <w:p>
      <w:pPr>
        <w:jc w:val="both"/>
      </w:pPr>
      <w:r>
        <w:rPr/>
        <w:t xml:space="preserve"/>
      </w:r>
    </w:p>
    <w:p>
      <w:pPr>
        <w:jc w:val="both"/>
      </w:pPr>
      <w:r>
        <w:rPr/>
        <w:t xml:space="preserve">第四，在探讨政府风险投资对私人风险投资行为影响时，本文未考虑到其他因素可能会影响私人风险投资行为。例如，市场需求、技术变革、经济周期等因素都可能对私人风险投资行为产生重大影响。</w:t>
      </w:r>
    </w:p>
    <w:p>
      <w:pPr>
        <w:jc w:val="both"/>
      </w:pPr>
      <w:r>
        <w:rPr/>
        <w:t xml:space="preserve"/>
      </w:r>
    </w:p>
    <w:p>
      <w:pPr>
        <w:jc w:val="both"/>
      </w:pPr>
      <w:r>
        <w:rPr/>
        <w:t xml:space="preserve">最后，在呈现双方观点时，本文似乎更倾向于支持政府风险投资而非私人风险投资。这种偏袒可能会导致读者对结果产生怀疑，并认为作者已经预设了结论。</w:t>
      </w:r>
    </w:p>
    <w:p>
      <w:pPr>
        <w:jc w:val="both"/>
      </w:pPr>
      <w:r>
        <w:rPr/>
        <w:t xml:space="preserve"/>
      </w:r>
    </w:p>
    <w:p>
      <w:pPr>
        <w:jc w:val="both"/>
      </w:pPr>
      <w:r>
        <w:rPr/>
        <w:t xml:space="preserve">综上所述，尽管本文提供了有价值的信息和见解，但仍然存在潜在偏见和缺失。读者需要谨慎评估文章中所提出的主张，并考虑其他因素对结果产生影响的可能性。</w:t>
      </w:r>
    </w:p>
    <w:p>
      <w:pPr>
        <w:pStyle w:val="Heading1"/>
      </w:pPr>
      <w:bookmarkStart w:id="5" w:name="_Toc5"/>
      <w:r>
        <w:t>Topics for further research:</w:t>
      </w:r>
      <w:bookmarkEnd w:id="5"/>
    </w:p>
    <w:p>
      <w:pPr>
        <w:spacing w:after="0"/>
        <w:numPr>
          <w:ilvl w:val="0"/>
          <w:numId w:val="2"/>
        </w:numPr>
      </w:pPr>
      <w:r>
        <w:rPr/>
        <w:t xml:space="preserve">政府风险投资的必要性和影响
</w:t>
      </w:r>
    </w:p>
    <w:p>
      <w:pPr>
        <w:spacing w:after="0"/>
        <w:numPr>
          <w:ilvl w:val="0"/>
          <w:numId w:val="2"/>
        </w:numPr>
      </w:pPr>
      <w:r>
        <w:rPr/>
        <w:t xml:space="preserve">全球范围内的风险投资生态系统
</w:t>
      </w:r>
    </w:p>
    <w:p>
      <w:pPr>
        <w:spacing w:after="0"/>
        <w:numPr>
          <w:ilvl w:val="0"/>
          <w:numId w:val="2"/>
        </w:numPr>
      </w:pPr>
      <w:r>
        <w:rPr/>
        <w:t xml:space="preserve">政府风险投资对私人风险投资的影响证据
</w:t>
      </w:r>
    </w:p>
    <w:p>
      <w:pPr>
        <w:spacing w:after="0"/>
        <w:numPr>
          <w:ilvl w:val="0"/>
          <w:numId w:val="2"/>
        </w:numPr>
      </w:pPr>
      <w:r>
        <w:rPr/>
        <w:t xml:space="preserve">其他因素对私人风险投资行为的影响
</w:t>
      </w:r>
    </w:p>
    <w:p>
      <w:pPr>
        <w:spacing w:after="0"/>
        <w:numPr>
          <w:ilvl w:val="0"/>
          <w:numId w:val="2"/>
        </w:numPr>
      </w:pPr>
      <w:r>
        <w:rPr/>
        <w:t xml:space="preserve">文章中的偏袒和预设结论
</w:t>
      </w:r>
    </w:p>
    <w:p>
      <w:pPr>
        <w:numPr>
          <w:ilvl w:val="0"/>
          <w:numId w:val="2"/>
        </w:numPr>
      </w:pPr>
      <w:r>
        <w:rPr/>
        <w:t xml:space="preserve">评估文章中提出的主张的谨慎性</w:t>
      </w:r>
    </w:p>
    <w:p>
      <w:pPr>
        <w:pStyle w:val="Heading1"/>
      </w:pPr>
      <w:bookmarkStart w:id="6" w:name="_Toc6"/>
      <w:r>
        <w:t>Report location:</w:t>
      </w:r>
      <w:bookmarkEnd w:id="6"/>
    </w:p>
    <w:p>
      <w:hyperlink r:id="rId8" w:history="1">
        <w:r>
          <w:rPr>
            <w:color w:val="2980b9"/>
            <w:u w:val="single"/>
          </w:rPr>
          <w:t xml:space="preserve">https://www.fullpicture.app/item/c8b6ef62236ee3b8ed1d6e37b56caa5c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BD702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abs/10.1177/1042258717735303" TargetMode="External"/><Relationship Id="rId8" Type="http://schemas.openxmlformats.org/officeDocument/2006/relationships/hyperlink" Target="https://www.fullpicture.app/item/c8b6ef62236ee3b8ed1d6e37b56caa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2023-12-05T11:35:13+01:00</dcterms:created>
  <dcterms:modified xsi:type="dcterms:W3CDTF">2023-12-05T11:35:13+01:00</dcterms:modified>
</cp:coreProperties>
</file>

<file path=docProps/custom.xml><?xml version="1.0" encoding="utf-8"?>
<Properties xmlns="http://schemas.openxmlformats.org/officeDocument/2006/custom-properties" xmlns:vt="http://schemas.openxmlformats.org/officeDocument/2006/docPropsVTypes"/>
</file>