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Civil Rights Division | Section IV- Interplay of Title VI with Title IX, Section 504, th Fourteenth Amendment, and Title VII | United States Department of Justice</w:t>
      </w:r>
      <w:br/>
      <w:hyperlink r:id="rId7" w:history="1">
        <w:r>
          <w:rPr>
            <w:color w:val="2980b9"/>
            <w:u w:val="single"/>
          </w:rPr>
          <w:t xml:space="preserve">https://www.justice.gov/crt/fcs/T6manual4</w:t>
        </w:r>
      </w:hyperlink>
    </w:p>
    <w:p>
      <w:pPr>
        <w:pStyle w:val="Heading1"/>
      </w:pPr>
      <w:bookmarkStart w:id="2" w:name="_Toc2"/>
      <w:r>
        <w:t>Article summary:</w:t>
      </w:r>
      <w:bookmarkEnd w:id="2"/>
    </w:p>
    <w:p>
      <w:pPr>
        <w:jc w:val="both"/>
      </w:pPr>
      <w:r>
        <w:rPr/>
        <w:t xml:space="preserve">1. Title VI prohibits discrimination based on race, color, or national origin in programs and activities receiving federal financial assistance.</w:t>
      </w:r>
    </w:p>
    <w:p>
      <w:pPr>
        <w:jc w:val="both"/>
      </w:pPr>
      <w:r>
        <w:rPr/>
        <w:t xml:space="preserve">2. Title VI served as the model for other statutes that prohibit discrimination in federally assisted programs, such as Title IX (sex discrimination) and Section 504 (disability discrimination).</w:t>
      </w:r>
    </w:p>
    <w:p>
      <w:pPr>
        <w:jc w:val="both"/>
      </w:pPr>
      <w:r>
        <w:rPr/>
        <w:t xml:space="preserve">3. Courts have relied on case law interpreting Title VI when applying these other statutes, and the standards of proof for intentional discrimination and disparate impact are often adopted from the Fourteenth Amendment and Title VII.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"Civil Rights Division | Section IV- Interplay of Title VI with Title IX, Section 504, the Fourteenth Amendment, and Title VII" provides an overview of the interplay between various civil rights laws in the United States. While the article appears to be informative and objective on the surface, a closer analysis reveals potential biases and limitations.</w:t>
      </w:r>
    </w:p>
    <w:p>
      <w:pPr>
        <w:jc w:val="both"/>
      </w:pPr>
      <w:r>
        <w:rPr/>
        <w:t xml:space="preserve"/>
      </w:r>
    </w:p>
    <w:p>
      <w:pPr>
        <w:jc w:val="both"/>
      </w:pPr>
      <w:r>
        <w:rPr/>
        <w:t xml:space="preserve">One potential bias in the article is its focus on legal interpretations and court cases that support the application of Title VI to other statutes. The article cites several Supreme Court cases that affirm this interpretation but does not provide any counterarguments or alternative perspectives. This one-sided reporting may give readers a skewed understanding of the issue at hand.</w:t>
      </w:r>
    </w:p>
    <w:p>
      <w:pPr>
        <w:jc w:val="both"/>
      </w:pPr>
      <w:r>
        <w:rPr/>
        <w:t xml:space="preserve"/>
      </w:r>
    </w:p>
    <w:p>
      <w:pPr>
        <w:jc w:val="both"/>
      </w:pPr>
      <w:r>
        <w:rPr/>
        <w:t xml:space="preserve">Furthermore, the article lacks specific evidence or examples to support its claims. For instance, it states that courts have relied on case law interpreting Title VI as generally applicable to later statutes. However, no specific cases or examples are provided to illustrate this point. Without concrete evidence, readers are left to take these claims at face value without being able to evaluate their validity.</w:t>
      </w:r>
    </w:p>
    <w:p>
      <w:pPr>
        <w:jc w:val="both"/>
      </w:pPr>
      <w:r>
        <w:rPr/>
        <w:t xml:space="preserve"/>
      </w:r>
    </w:p>
    <w:p>
      <w:pPr>
        <w:jc w:val="both"/>
      </w:pPr>
      <w:r>
        <w:rPr/>
        <w:t xml:space="preserve">Additionally, there are missing points of consideration in the article. It briefly mentions that Title VI restricts claims of employment discrimination to instances where a "primary objective" of financial assistance is employment. However, it does not delve into why this restriction exists or how it may impact individuals seeking recourse for employment discrimination under Title VI. This omission limits a comprehensive understanding of the topic.</w:t>
      </w:r>
    </w:p>
    <w:p>
      <w:pPr>
        <w:jc w:val="both"/>
      </w:pPr>
      <w:r>
        <w:rPr/>
        <w:t xml:space="preserve"/>
      </w:r>
    </w:p>
    <w:p>
      <w:pPr>
        <w:jc w:val="both"/>
      </w:pPr>
      <w:r>
        <w:rPr/>
        <w:t xml:space="preserve">The article also lacks exploration of counterarguments or alternative perspectives. It presents a narrow interpretation of how Title VI interacts with other civil rights laws without acknowledging potential challenges or criticisms to this approach. By failing to address opposing viewpoints, the article may give readers a biased view of the issue.</w:t>
      </w:r>
    </w:p>
    <w:p>
      <w:pPr>
        <w:jc w:val="both"/>
      </w:pPr>
      <w:r>
        <w:rPr/>
        <w:t xml:space="preserve"/>
      </w:r>
    </w:p>
    <w:p>
      <w:pPr>
        <w:jc w:val="both"/>
      </w:pPr>
      <w:r>
        <w:rPr/>
        <w:t xml:space="preserve">Moreover, there is promotional content present in the article. It directs readers to click on a link to access the complete revised manual from which this section is extracted. While providing additional resources can be helpful, it raises questions about whether this article is intended to inform readers or promote the manual itself.</w:t>
      </w:r>
    </w:p>
    <w:p>
      <w:pPr>
        <w:jc w:val="both"/>
      </w:pPr>
      <w:r>
        <w:rPr/>
        <w:t xml:space="preserve"/>
      </w:r>
    </w:p>
    <w:p>
      <w:pPr>
        <w:jc w:val="both"/>
      </w:pPr>
      <w:r>
        <w:rPr/>
        <w:t xml:space="preserve">Overall, the article has potential biases and limitations that hinder its objectivity. It presents a one-sided view of the interplay between civil rights laws, lacks specific evidence for its claims, omits important points of consideration, fails to explore counterarguments, includes promotional content, and may not present both sides equally. Readers should approach this article with caution and seek additional sources to gain a more comprehensive understanding of the topic.</w:t>
      </w:r>
    </w:p>
    <w:p>
      <w:pPr>
        <w:pStyle w:val="Heading1"/>
      </w:pPr>
      <w:bookmarkStart w:id="5" w:name="_Toc5"/>
      <w:r>
        <w:t>Topics for further research:</w:t>
      </w:r>
      <w:bookmarkEnd w:id="5"/>
    </w:p>
    <w:p>
      <w:pPr>
        <w:spacing w:after="0"/>
        <w:numPr>
          <w:ilvl w:val="0"/>
          <w:numId w:val="2"/>
        </w:numPr>
      </w:pPr>
      <w:r>
        <w:rPr/>
        <w:t xml:space="preserve">Critiques of Title VI application to other civil rights laws
</w:t>
      </w:r>
    </w:p>
    <w:p>
      <w:pPr>
        <w:spacing w:after="0"/>
        <w:numPr>
          <w:ilvl w:val="0"/>
          <w:numId w:val="2"/>
        </w:numPr>
      </w:pPr>
      <w:r>
        <w:rPr/>
        <w:t xml:space="preserve">Limitations of Title VI in employment discrimination cases
</w:t>
      </w:r>
    </w:p>
    <w:p>
      <w:pPr>
        <w:spacing w:after="0"/>
        <w:numPr>
          <w:ilvl w:val="0"/>
          <w:numId w:val="2"/>
        </w:numPr>
      </w:pPr>
      <w:r>
        <w:rPr/>
        <w:t xml:space="preserve">Alternative interpretations of Title VI and its interplay with other statutes
</w:t>
      </w:r>
    </w:p>
    <w:p>
      <w:pPr>
        <w:spacing w:after="0"/>
        <w:numPr>
          <w:ilvl w:val="0"/>
          <w:numId w:val="2"/>
        </w:numPr>
      </w:pPr>
      <w:r>
        <w:rPr/>
        <w:t xml:space="preserve">Challenges to the 'primary objective' restriction in Title VI
</w:t>
      </w:r>
    </w:p>
    <w:p>
      <w:pPr>
        <w:spacing w:after="0"/>
        <w:numPr>
          <w:ilvl w:val="0"/>
          <w:numId w:val="2"/>
        </w:numPr>
      </w:pPr>
      <w:r>
        <w:rPr/>
        <w:t xml:space="preserve">Opposing viewpoints on the application of Title VI to Title IX</w:t>
      </w:r>
    </w:p>
    <w:p>
      <w:pPr>
        <w:spacing w:after="0"/>
        <w:numPr>
          <w:ilvl w:val="0"/>
          <w:numId w:val="2"/>
        </w:numPr>
      </w:pPr>
      <w:r>
        <w:rPr/>
        <w:t xml:space="preserve">Section 504</w:t>
      </w:r>
    </w:p>
    <w:p>
      <w:pPr>
        <w:spacing w:after="0"/>
        <w:numPr>
          <w:ilvl w:val="0"/>
          <w:numId w:val="2"/>
        </w:numPr>
      </w:pPr>
      <w:r>
        <w:rPr/>
        <w:t xml:space="preserve">the Fourteenth Amendment</w:t>
      </w:r>
    </w:p>
    <w:p>
      <w:pPr>
        <w:spacing w:after="0"/>
        <w:numPr>
          <w:ilvl w:val="0"/>
          <w:numId w:val="2"/>
        </w:numPr>
      </w:pPr>
      <w:r>
        <w:rPr/>
        <w:t xml:space="preserve">and Title VII
</w:t>
      </w:r>
    </w:p>
    <w:p>
      <w:pPr>
        <w:numPr>
          <w:ilvl w:val="0"/>
          <w:numId w:val="2"/>
        </w:numPr>
      </w:pPr>
      <w:r>
        <w:rPr/>
        <w:t xml:space="preserve">Comprehensive analysis of civil rights laws in the United States</w:t>
      </w:r>
    </w:p>
    <w:p>
      <w:pPr>
        <w:pStyle w:val="Heading1"/>
      </w:pPr>
      <w:bookmarkStart w:id="6" w:name="_Toc6"/>
      <w:r>
        <w:t>Report location:</w:t>
      </w:r>
      <w:bookmarkEnd w:id="6"/>
    </w:p>
    <w:p>
      <w:hyperlink r:id="rId8" w:history="1">
        <w:r>
          <w:rPr>
            <w:color w:val="2980b9"/>
            <w:u w:val="single"/>
          </w:rPr>
          <w:t xml:space="preserve">https://www.fullpicture.app/item/c75969c9cdf443a790d85e0e9e8c3f7c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9DCA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ustice.gov/crt/fcs/T6manual4" TargetMode="External"/><Relationship Id="rId8" Type="http://schemas.openxmlformats.org/officeDocument/2006/relationships/hyperlink" Target="https://www.fullpicture.app/item/c75969c9cdf443a790d85e0e9e8c3f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2023-09-04T10:35:30+02:00</dcterms:created>
  <dcterms:modified xsi:type="dcterms:W3CDTF">2023-09-04T10:35:30+02:00</dcterms:modified>
</cp:coreProperties>
</file>

<file path=docProps/custom.xml><?xml version="1.0" encoding="utf-8"?>
<Properties xmlns="http://schemas.openxmlformats.org/officeDocument/2006/custom-properties" xmlns:vt="http://schemas.openxmlformats.org/officeDocument/2006/docPropsVTypes"/>
</file>