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CRISPR-based peptide library display and programmable microarray self-assembly for rapid quantitative protein binding assays: Molecular Cell</w:t>
      </w:r>
      <w:br/>
      <w:hyperlink r:id="rId7" w:history="1">
        <w:r>
          <w:rPr>
            <w:color w:val="2980b9"/>
            <w:u w:val="single"/>
          </w:rPr>
          <w:t xml:space="preserve">https://www.cell.com/molecular-cell/fulltext/S1097-2765(21)00596-7?_returnURL=https%3A%2F%2Flinkinghub.elsevier.com%2Fretrieve%2Fpii%2FS1097276521005967%3Fshowall%3Dtrue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介绍了一种基于CRISPR的肽展示技术，利用dCas9将肽库条形码化并自组装到DNA微阵列表面进行快速、多重的蛋白质结合实验。</w:t>
      </w:r>
    </w:p>
    <w:p>
      <w:pPr>
        <w:jc w:val="both"/>
      </w:pPr>
      <w:r>
        <w:rPr/>
        <w:t xml:space="preserve">2. 利用dCas9展示饱和突变库对商业抗FLAG单克隆抗体和人血清抗体进行表位映射，同时也可用于病毒表位映射和作为多重诊断工具。</w:t>
      </w:r>
    </w:p>
    <w:p>
      <w:pPr>
        <w:jc w:val="both"/>
      </w:pPr>
      <w:r>
        <w:rPr/>
        <w:t xml:space="preserve">3. 这种CRISPR基于的肽展示平台可以适应不同的定制蛋白质库或生物材料组装，并且PICASSO技术可以实现复杂库的自组装。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作为一篇科学研究论文，该文章并没有明显的偏见或宣传内容。然而，它可能存在一些局限性和未考虑到的因素。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主要关注了CRISPR技术在肽库显示和蛋白质结合分析中的应用。虽然这是一个有趣和有前途的领域，但该文章并没有探讨其他可能存在的风险或问题。例如，CRISPR技术在基因编辑中已经引起了广泛的争议和担忧，因为它可能会导致不可预测的副作用和意外后果。同样地，在使用CRISPR进行肽库显示时也可能存在类似的风险或问题，需要更多深入研究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提出了一种新型肽库显示平台，并声称其比现有技术更快速、更灵活、更便捷。然而，该文章并没有与其他肽库显示技术进行直接比较或评估其优劣之处。此外，在实验过程中是否存在潜在偏差或误差也没有得到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最后，尽管该文章提供了一些有趣的结果和应用前景，但它仍然只是一个初步研究，并需要更多的实验和验证来证明其可靠性和有效性。因此，读者应该保持谨慎，并不要过分乐观或悲观地看待这项技术的前景。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CRISPR技术的风险和问题
</w:t>
      </w:r>
    </w:p>
    <w:p>
      <w:pPr>
        <w:spacing w:after="0"/>
        <w:numPr>
          <w:ilvl w:val="0"/>
          <w:numId w:val="2"/>
        </w:numPr>
      </w:pPr>
      <w:r>
        <w:rPr/>
        <w:t xml:space="preserve">与其他肽库显示技术的比较
</w:t>
      </w:r>
    </w:p>
    <w:p>
      <w:pPr>
        <w:spacing w:after="0"/>
        <w:numPr>
          <w:ilvl w:val="0"/>
          <w:numId w:val="2"/>
        </w:numPr>
      </w:pPr>
      <w:r>
        <w:rPr/>
        <w:t xml:space="preserve">实验过程中的潜在偏差或误差
</w:t>
      </w:r>
    </w:p>
    <w:p>
      <w:pPr>
        <w:spacing w:after="0"/>
        <w:numPr>
          <w:ilvl w:val="0"/>
          <w:numId w:val="2"/>
        </w:numPr>
      </w:pPr>
      <w:r>
        <w:rPr/>
        <w:t xml:space="preserve">该研究的初步性质
</w:t>
      </w:r>
    </w:p>
    <w:p>
      <w:pPr>
        <w:spacing w:after="0"/>
        <w:numPr>
          <w:ilvl w:val="0"/>
          <w:numId w:val="2"/>
        </w:numPr>
      </w:pPr>
      <w:r>
        <w:rPr/>
        <w:t xml:space="preserve">技术的可靠性和有效性需要更多验证
</w:t>
      </w:r>
    </w:p>
    <w:p>
      <w:pPr>
        <w:numPr>
          <w:ilvl w:val="0"/>
          <w:numId w:val="2"/>
        </w:numPr>
      </w:pPr>
      <w:r>
        <w:rPr/>
        <w:t xml:space="preserve">保持谨慎的态度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https://www.fullpicture.app/item/c7485d1c3ac8335fa3f3f7fe5c591441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F3153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ll.com/molecular-cell/fulltext/S1097-2765(21)00596-7?_returnURL=https%3A%2F%2Flinkinghub.elsevier.com%2Fretrieve%2Fpii%2FS1097276521005967%3Fshowall%3Dtrue" TargetMode="External"/><Relationship Id="rId8" Type="http://schemas.openxmlformats.org/officeDocument/2006/relationships/hyperlink" Target="https://www.fullpicture.app/item/c7485d1c3ac8335fa3f3f7fe5c59144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2023-05-26T13:52:47+02:00</dcterms:created>
  <dcterms:modified xsi:type="dcterms:W3CDTF">2023-05-26T13:52:47+02:00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