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Identification of prognostic biomarkers among ICAMs in the breast cancer microenvironment - IOS Press</w:t>
      </w:r>
      <w:br/>
      <w:hyperlink r:id="rId7" w:history="1">
        <w:r>
          <w:rPr>
            <w:color w:val="2980b9"/>
            <w:u w:val="single"/>
          </w:rPr>
          <w:t xml:space="preserve">https://content.iospress.com/articles/cancer-biomarkers/cbm220073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ICAM1 expression is upregulated in triple-negative breast cancer (TNBC) and associated with better overall survival and recurrence-free survival.</w:t>
      </w:r>
    </w:p>
    <w:p>
      <w:pPr>
        <w:jc w:val="both"/>
      </w:pPr>
      <w:r>
        <w:rPr/>
        <w:t xml:space="preserve">2. ICAM1 gene variants mainly consist of missense mutation and amplification, and TNBC tissues show lower levels of methylation compared to normal tissues.</w:t>
      </w:r>
    </w:p>
    <w:p>
      <w:pPr>
        <w:jc w:val="both"/>
      </w:pPr>
      <w:r>
        <w:rPr/>
        <w:t xml:space="preserve">3. ICAM1 is involved in immune regulation processes in breast cancer and positively associated with tumor-infiltrating immune cells and immune checkpoint molecules such as PD-1, PD-L1, and CTLA4.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作为一篇研究文章，本文提供了关于ICAMs在乳腺癌微环境中的潜在生物标志物和治疗靶点的信息。然而，文章存在以下几个问题：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偏见来源：文章没有明确说明作者的利益冲突或资金来源，这可能会影响其结果和结论的客观性。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片面报道：文章只关注了ICAM1在TNBC中的表达和功能，并未探讨其他ICAMs在不同亚型乳腺癌中的作用。此外，文章也没有考虑到其他因素对ICAM1表达和功能的影响。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无根据主张：文章声称高表达ICAM1与TNBC患者更好的总体生存率和无复发生存率相关联，但并未提供足够证据支持这一主张。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缺失考虑点：文章没有考虑到肿瘤异质性、样本大小、实验设计等因素对结果的影响。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主张缺失证据：文章声称ICAM1参与调节免疫反应，但并未提供足够证据支持这一主张。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未探索反驳：文章没有探讨其他学者对ICAMs作为治疗靶点的反驳意见或争议点。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宣传内容：文章的标题和摘要中使用了“潜在生物标志物”、“治疗靶点”等宣传性词语，可能会误导读者。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综上所述，本文存在一些偏见、片面报道、无根据主张、缺失考虑点和证据不足等问题。未来的研究应该更加客观全面地探讨ICAMs在乳腺癌微环境中的作用，并注意避免宣传性语言的使用。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Conflict of interest/funding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Other ICAMs in different subtypes of breast cancer and other factors affecting ICAM1 expression and function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correlation between high ICAM1 expression and better overall survival and recurrence-free survival in TNBC patients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results such as tumor heterogeneity</w:t>
      </w:r>
    </w:p>
    <w:p>
      <w:pPr>
        <w:spacing w:after="0"/>
        <w:numPr>
          <w:ilvl w:val="0"/>
          <w:numId w:val="2"/>
        </w:numPr>
      </w:pPr>
      <w:r>
        <w:rPr/>
        <w:t xml:space="preserve">sample size</w:t>
      </w:r>
    </w:p>
    <w:p>
      <w:pPr>
        <w:spacing w:after="0"/>
        <w:numPr>
          <w:ilvl w:val="0"/>
          <w:numId w:val="2"/>
        </w:numPr>
      </w:pPr>
      <w:r>
        <w:rPr/>
        <w:t xml:space="preserve">and experimental design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ICAM1's involvement in regulating immune response
</w:t>
      </w:r>
    </w:p>
    <w:p>
      <w:pPr>
        <w:numPr>
          <w:ilvl w:val="0"/>
          <w:numId w:val="2"/>
        </w:numPr>
      </w:pPr>
      <w:r>
        <w:rPr/>
        <w:t xml:space="preserve">Other scholars' opposing views or controversies regarding ICAMs as therapeutic targets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https://www.fullpicture.app/item/c3a15870e24ddf75b87a381796569c28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EF7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ntent.iospress.com/articles/cancer-biomarkers/cbm220073" TargetMode="External"/><Relationship Id="rId8" Type="http://schemas.openxmlformats.org/officeDocument/2006/relationships/hyperlink" Target="https://www.fullpicture.app/item/c3a15870e24ddf75b87a381796569c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2024-03-27T05:21:13+01:00</dcterms:created>
  <dcterms:modified xsi:type="dcterms:W3CDTF">2024-03-27T05:21:13+01:00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