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Acceleration of multiple‐scattering, hyperspectral radiative transfer calculations via low‐streams interpolation - O'Dell - 2010 - Journal of Geophysical Research: Atmospheres - Wiley Online Library</w:t>
      </w:r>
      <w:br/>
      <w:hyperlink r:id="rId7" w:history="1">
        <w:r>
          <w:rPr>
            <w:color w:val="2980b9"/>
            <w:u w:val="single"/>
          </w:rPr>
          <w:t xml:space="preserve">https://agupubs.onlinelibrary.wiley.com/doi/full/10.1029/2009JD012803</w:t>
        </w:r>
      </w:hyperlink>
    </w:p>
    <w:p>
      <w:pPr>
        <w:pStyle w:val="Heading1"/>
      </w:pPr>
      <w:bookmarkStart w:id="2" w:name="_Toc2"/>
      <w:r>
        <w:t>Article summary:</w:t>
      </w:r>
      <w:bookmarkEnd w:id="2"/>
    </w:p>
    <w:p>
      <w:pPr>
        <w:jc w:val="both"/>
      </w:pPr>
      <w:r>
        <w:rPr/>
        <w:t xml:space="preserve">1. 近红外光谱仪器可以通过高分辨率的反射太阳光谱测量痕量气体的浓度。</w:t>
      </w:r>
    </w:p>
    <w:p>
      <w:pPr>
        <w:jc w:val="both"/>
      </w:pPr>
      <w:r>
        <w:rPr/>
        <w:t xml:space="preserve">2. 为了从这些数据中准确地检索出痕量气体的数量，需要进行多次散射、高光谱辐射传输计算，但这种计算可能会非常昂贵。</w:t>
      </w:r>
    </w:p>
    <w:p>
      <w:pPr>
        <w:jc w:val="both"/>
      </w:pPr>
      <w:r>
        <w:rPr/>
        <w:t xml:space="preserve">3. 本文介绍了一种简单而准确的技术，可以加速可见光和近红外线许多单色波长的辐射传输。该技术在各种大气类型下都经过了测试，并且证明其速度提升了1-2个数量级，同时误差很小。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一种加速多次散射、高光谱辐射传输计算的方法，以应对近红外气体吸收带内角度相关辐射的模拟计算。该方法在大量不同类型的大气剖面中进行测试，并展示了1-2个数量级的速度提升和小于0.1%的典型误差。然而，该文章存在以下问题：</w:t>
      </w:r>
    </w:p>
    <w:p>
      <w:pPr>
        <w:jc w:val="both"/>
      </w:pPr>
      <w:r>
        <w:rPr/>
        <w:t xml:space="preserve"/>
      </w:r>
    </w:p>
    <w:p>
      <w:pPr>
        <w:jc w:val="both"/>
      </w:pPr>
      <w:r>
        <w:rPr/>
        <w:t xml:space="preserve">1. 偏重技术细节：该文章过于关注技术细节，缺乏对其实际应用和意义的深入探讨。例如，它没有明确说明如何将这种加速方法应用于实际数据处理中。</w:t>
      </w:r>
    </w:p>
    <w:p>
      <w:pPr>
        <w:jc w:val="both"/>
      </w:pPr>
      <w:r>
        <w:rPr/>
        <w:t xml:space="preserve"/>
      </w:r>
    </w:p>
    <w:p>
      <w:pPr>
        <w:jc w:val="both"/>
      </w:pPr>
      <w:r>
        <w:rPr/>
        <w:t xml:space="preserve">2. 缺乏风险评估：该文章没有探讨使用这种加速方法可能带来的潜在风险或局限性。例如，它没有考虑到可能存在的误差积累或不确定性增加等问题。</w:t>
      </w:r>
    </w:p>
    <w:p>
      <w:pPr>
        <w:jc w:val="both"/>
      </w:pPr>
      <w:r>
        <w:rPr/>
        <w:t xml:space="preserve"/>
      </w:r>
    </w:p>
    <w:p>
      <w:pPr>
        <w:jc w:val="both"/>
      </w:pPr>
      <w:r>
        <w:rPr/>
        <w:t xml:space="preserve">3. 片面报道：该文章只介绍了一种加速方法，并未比较其他可能存在的加速方法或技术。因此，读者无法确定这种方法是否是最优解决方案。</w:t>
      </w:r>
    </w:p>
    <w:p>
      <w:pPr>
        <w:jc w:val="both"/>
      </w:pPr>
      <w:r>
        <w:rPr/>
        <w:t xml:space="preserve"/>
      </w:r>
    </w:p>
    <w:p>
      <w:pPr>
        <w:jc w:val="both"/>
      </w:pPr>
      <w:r>
        <w:rPr/>
        <w:t xml:space="preserve">4. 缺失证据支持：该文章提出了需要精度达到百分之一以下才能检测CO2源和汇的需求，但并未提供足够证据支持这一主张。</w:t>
      </w:r>
    </w:p>
    <w:p>
      <w:pPr>
        <w:jc w:val="both"/>
      </w:pPr>
      <w:r>
        <w:rPr/>
        <w:t xml:space="preserve"/>
      </w:r>
    </w:p>
    <w:p>
      <w:pPr>
        <w:jc w:val="both"/>
      </w:pPr>
      <w:r>
        <w:rPr/>
        <w:t xml:space="preserve">5. 偏袒：该文章过于强调新一代近红外仪器的重要性，但未充分探讨其他可能存在的方法或技术。这种偏袒可能会导致读者对该领域的研究产生误解。</w:t>
      </w:r>
    </w:p>
    <w:p>
      <w:pPr>
        <w:jc w:val="both"/>
      </w:pPr>
      <w:r>
        <w:rPr/>
        <w:t xml:space="preserve"/>
      </w:r>
    </w:p>
    <w:p>
      <w:pPr>
        <w:jc w:val="both"/>
      </w:pPr>
      <w:r>
        <w:rPr/>
        <w:t xml:space="preserve">综上所述，该文章虽然提供了一种加速多次散射、高光谱辐射传输计算的方法，但其存在一些问题，需要更全面和客观地考虑相关问题。</w:t>
      </w:r>
    </w:p>
    <w:p>
      <w:pPr>
        <w:pStyle w:val="Heading1"/>
      </w:pPr>
      <w:bookmarkStart w:id="5" w:name="_Toc5"/>
      <w:r>
        <w:t>Topics for further research:</w:t>
      </w:r>
      <w:bookmarkEnd w:id="5"/>
    </w:p>
    <w:p>
      <w:pPr>
        <w:spacing w:after="0"/>
        <w:numPr>
          <w:ilvl w:val="0"/>
          <w:numId w:val="2"/>
        </w:numPr>
      </w:pPr>
      <w:r>
        <w:rPr/>
        <w:t xml:space="preserve">Practical application of the method
</w:t>
      </w:r>
    </w:p>
    <w:p>
      <w:pPr>
        <w:spacing w:after="0"/>
        <w:numPr>
          <w:ilvl w:val="0"/>
          <w:numId w:val="2"/>
        </w:numPr>
      </w:pPr>
      <w:r>
        <w:rPr/>
        <w:t xml:space="preserve">Potential risks and limitations
</w:t>
      </w:r>
    </w:p>
    <w:p>
      <w:pPr>
        <w:spacing w:after="0"/>
        <w:numPr>
          <w:ilvl w:val="0"/>
          <w:numId w:val="2"/>
        </w:numPr>
      </w:pPr>
      <w:r>
        <w:rPr/>
        <w:t xml:space="preserve">Comparison with other acceleration methods or technologies
</w:t>
      </w:r>
    </w:p>
    <w:p>
      <w:pPr>
        <w:spacing w:after="0"/>
        <w:numPr>
          <w:ilvl w:val="0"/>
          <w:numId w:val="2"/>
        </w:numPr>
      </w:pPr>
      <w:r>
        <w:rPr/>
        <w:t xml:space="preserve">Evidence supporting the need for high precision
</w:t>
      </w:r>
    </w:p>
    <w:p>
      <w:pPr>
        <w:spacing w:after="0"/>
        <w:numPr>
          <w:ilvl w:val="0"/>
          <w:numId w:val="2"/>
        </w:numPr>
      </w:pPr>
      <w:r>
        <w:rPr/>
        <w:t xml:space="preserve">Bias towards new generation near-infrared instruments
</w:t>
      </w:r>
    </w:p>
    <w:p>
      <w:pPr>
        <w:numPr>
          <w:ilvl w:val="0"/>
          <w:numId w:val="2"/>
        </w:numPr>
      </w:pPr>
      <w:r>
        <w:rPr/>
        <w:t xml:space="preserve">Comprehensive and objective consideration of relevant issues</w:t>
      </w:r>
    </w:p>
    <w:p>
      <w:pPr>
        <w:pStyle w:val="Heading1"/>
      </w:pPr>
      <w:bookmarkStart w:id="6" w:name="_Toc6"/>
      <w:r>
        <w:t>Report location:</w:t>
      </w:r>
      <w:bookmarkEnd w:id="6"/>
    </w:p>
    <w:p>
      <w:hyperlink r:id="rId8" w:history="1">
        <w:r>
          <w:rPr>
            <w:color w:val="2980b9"/>
            <w:u w:val="single"/>
          </w:rPr>
          <w:t xml:space="preserve">https://www.fullpicture.app/item/c2acd1312b80ac7d330031eb102e52d0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130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09JD012803" TargetMode="External"/><Relationship Id="rId8" Type="http://schemas.openxmlformats.org/officeDocument/2006/relationships/hyperlink" Target="https://www.fullpicture.app/item/c2acd1312b80ac7d330031eb102e52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2023-04-29T09:41:26+02:00</dcterms:created>
  <dcterms:modified xsi:type="dcterms:W3CDTF">2023-04-29T09:41:26+02:00</dcterms:modified>
</cp:coreProperties>
</file>

<file path=docProps/custom.xml><?xml version="1.0" encoding="utf-8"?>
<Properties xmlns="http://schemas.openxmlformats.org/officeDocument/2006/custom-properties" xmlns:vt="http://schemas.openxmlformats.org/officeDocument/2006/docPropsVTypes"/>
</file>