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基于4C营销理论的L市邮政公司代理金融业务营销策略优化研究 - 中国知网</w:t></w:r><w:br/><w:hyperlink r:id="rId7" w:history="1"><w:r><w:rPr><w:color w:val="2980b9"/><w:u w:val="single"/></w:rPr><w:t xml:space="preserve">https://kns.cnki.net/kcms2/article/abstract?v=3uoqIhG8C475KOm_zrgu4lQARvep2SAkaWjBDt8_rTOnKA7PWSN5MAwKFE7ZPgzebrQcfmf2i1dar8sjfGoVjT1_SaNXg7Ru&uniplatform=NZKPT</w:t></w:r></w:hyperlink></w:p><w:p><w:pPr><w:pStyle w:val="Heading1"/></w:pPr><w:bookmarkStart w:id="2" w:name="_Toc2"/><w:r><w:t>Article summary:</w:t></w:r><w:bookmarkEnd w:id="2"/></w:p><w:p><w:pPr><w:jc w:val="both"/></w:pPr><w:r><w:rPr/><w:t xml:space="preserve">1. 邮政公司代理金融业务是邮政公司的重要收入来源，对于其发展至关重要。在L市邮政公司中，代理金融业务收入占总收入的66.39%。</w:t></w:r></w:p><w:p><w:pPr><w:jc w:val="both"/></w:pPr><w:r><w:rPr/><w:t xml:space="preserve">2. 随着社会经济的发展，客户对金融产品的需求越来越多样化，并对金融服务质量提出了更高要求。为了适应不断变化的金融市场环境并保持健康可持续发展，邮政公司必须将代理金融业务营销策略从传统的以产品为中心转变为以满足客户需求为中心。</w:t></w:r></w:p><w:p><w:pPr><w:jc w:val="both"/></w:pPr><w:r><w:rPr/><w:t xml:space="preserve">3. 通过基于4C营销理论的优化研究，可以帮助邮政公司改进代理金融业务的营销策略，提高客户满意度和竞争力。</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潜在偏见及其来源：文章似乎倾向于支持L市邮政公司代理金融业务的营销策略优化，但没有提供足够的证据来支持这一立场。作者可能受到与该公司有关的利益相关方或邮政行业的影响。</w:t></w:r></w:p><w:p><w:pPr><w:jc w:val="both"/></w:pPr><w:r><w:rPr/><w:t xml:space="preserve"></w:t></w:r></w:p><w:p><w:pPr><w:jc w:val="both"/></w:pPr><w:r><w:rPr/><w:t xml:space="preserve">2. 片面报道：文章只关注了L市邮政公司代理金融业务收入在总收入中所占比例较高，并未提及其他重要指标，如利润率、客户满意度等。这种片面报道可能导致读者对该业务的整体表现产生误解。</w:t></w:r></w:p><w:p><w:pPr><w:jc w:val="both"/></w:pPr><w:r><w:rPr/><w:t xml:space="preserve"></w:t></w:r></w:p><w:p><w:pPr><w:jc w:val="both"/></w:pPr><w:r><w:rPr/><w:t xml:space="preserve">3. 无根据的主张：文章声称如果邮政公司想要适应不断变化的金融市场环境并保持健康可持续发展，必须将代理金融业务营销策略从传统以产品为中心转变为以满足客户需求为中心。然而，作者没有提供任何证据来支持这一主张。</w:t></w:r></w:p><w:p><w:pPr><w:jc w:val="both"/></w:pPr><w:r><w:rPr/><w:t xml:space="preserve"></w:t></w:r></w:p><w:p><w:pPr><w:jc w:val="both"/></w:pPr><w:r><w:rPr/><w:t xml:space="preserve">4. 缺失的考虑点：文章没有讨论潜在风险和挑战，如竞争压力、监管限制、技术创新等。忽视这些因素可能导致对代理金融业务的过度乐观评估。</w:t></w:r></w:p><w:p><w:pPr><w:jc w:val="both"/></w:pPr><w:r><w:rPr/><w:t xml:space="preserve"></w:t></w:r></w:p><w:p><w:pPr><w:jc w:val="both"/></w:pPr><w:r><w:rPr/><w:t xml:space="preserve">5. 所提出主张的缺失证据：文章没有提供任何数据或案例研究来支持所提出的营销策略优化建议。这使得读者难以判断这些主张是否可行和有效。</w:t></w:r></w:p><w:p><w:pPr><w:jc w:val="both"/></w:pPr><w:r><w:rPr/><w:t xml:space="preserve"></w:t></w:r></w:p><w:p><w:pPr><w:jc w:val="both"/></w:pPr><w:r><w:rPr/><w:t xml:space="preserve">6. 未探索的反驳：文章没有探讨其他可能的观点或反对意见，导致读者无法全面了解该问题的各个方面。</w:t></w:r></w:p><w:p><w:pPr><w:jc w:val="both"/></w:pPr><w:r><w:rPr/><w:t xml:space="preserve"></w:t></w:r></w:p><w:p><w:pPr><w:jc w:val="both"/></w:pPr><w:r><w:rPr/><w:t xml:space="preserve">7. 宣传内容和偏袒：文章似乎更像是一篇宣传邮政公司代理金融业务的文章，而不是客观分析和研究。这种偏袒可能会影响读者对该问题的客观认识。</w:t></w:r></w:p><w:p><w:pPr><w:jc w:val="both"/></w:pPr><w:r><w:rPr/><w:t xml:space="preserve"></w:t></w:r></w:p><w:p><w:pPr><w:jc w:val="both"/></w:pPr><w:r><w:rPr/><w:t xml:space="preserve">8. 是否注意到可能的风险：文章没有明确讨论潜在风险和挑战，如市场波动、信用风险等。这种忽视可能导致读者对代理金融业务的风险有所误解。</w:t></w:r></w:p><w:p><w:pPr><w:jc w:val="both"/></w:pPr><w:r><w:rPr/><w:t xml:space="preserve"></w:t></w:r></w:p><w:p><w:pPr><w:jc w:val="both"/></w:pPr><w:r><w:rPr/><w:t xml:space="preserve">9. 没有平等地呈现双方：文章只关注了L市邮政公司代理金融业务的发展和营销策略，而未涉及其他竞争对手或相关利益相关方。这种不平等地呈现双方可能导致读者对该问题的理解不完整。</w:t></w:r></w:p><w:p><w:pPr><w:jc w:val="both"/></w:pPr><w:r><w:rPr/><w:t xml:space="preserve"></w:t></w:r></w:p><w:p><w:pPr><w:jc w:val="both"/></w:pPr><w:r><w:rPr/><w:t xml:space="preserve">总之，上述文章存在一些潜在的偏见和问题，包括片面报道、无根据的主张、缺失的考虑点和证据等。读者应保持批判思维，并寻找更全面和客观的信息来评估该问题。</w:t></w:r></w:p><w:p><w:pPr><w:pStyle w:val="Heading1"/></w:pPr><w:bookmarkStart w:id="5" w:name="_Toc5"/><w:r><w:t>Topics for further research:</w:t></w:r><w:bookmarkEnd w:id="5"/></w:p><w:p><w:pPr><w:spacing w:after="0"/><w:numPr><w:ilvl w:val="0"/><w:numId w:val="2"/></w:numPr></w:pPr><w:r><w:rPr/><w:t xml:space="preserve">L市邮政公司代理金融业务的利润率和客户满意度如何？
</w:t></w:r></w:p><w:p><w:pPr><w:spacing w:after="0"/><w:numPr><w:ilvl w:val="0"/><w:numId w:val="2"/></w:numPr></w:pPr><w:r><w:rPr/><w:t xml:space="preserve">有哪些其他重要指标可以用来评估代理金融业务的整体表现？
</w:t></w:r></w:p><w:p><w:pPr><w:spacing w:after="0"/><w:numPr><w:ilvl w:val="0"/><w:numId w:val="2"/></w:numPr></w:pPr><w:r><w:rPr/><w:t xml:space="preserve">有哪些证据支持将代理金融业务营销策略从以产品为中心转变为以满足客户需求为中心的主张？
</w:t></w:r></w:p><w:p><w:pPr><w:spacing w:after="0"/><w:numPr><w:ilvl w:val="0"/><w:numId w:val="2"/></w:numPr></w:pPr><w:r><w:rPr/><w:t xml:space="preserve">有哪些潜在的竞争压力、监管限制和技术创新可能对代理金融业务产生影响？
</w:t></w:r></w:p><w:p><w:pPr><w:spacing w:after="0"/><w:numPr><w:ilvl w:val="0"/><w:numId w:val="2"/></w:numPr></w:pPr><w:r><w:rPr/><w:t xml:space="preserve">有哪些数据或案例研究可以支持所提出的营销策略优化建议的可行性和有效性？
</w:t></w:r></w:p><w:p><w:pPr><w:numPr><w:ilvl w:val="0"/><w:numId w:val="2"/></w:numPr></w:pPr><w:r><w:rPr/><w:t xml:space="preserve">有哪些其他可能的观点或反对意见可以对文章中的主张进行补充或挑战？</w:t></w:r></w:p><w:p><w:pPr><w:pStyle w:val="Heading1"/></w:pPr><w:bookmarkStart w:id="6" w:name="_Toc6"/><w:r><w:t>Report location:</w:t></w:r><w:bookmarkEnd w:id="6"/></w:p><w:p><w:hyperlink r:id="rId8" w:history="1"><w:r><w:rPr><w:color w:val="2980b9"/><w:u w:val="single"/></w:rPr><w:t xml:space="preserve">https://www.fullpicture.app/item/c19505f25ebf94f9fd15702bfc1f4f13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9992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aWjBDt8_rTOnKA7PWSN5MAwKFE7ZPgzebrQcfmf2i1dar8sjfGoVjT1_SaNXg7Ru&amp;uniplatform=NZKPT" TargetMode="External"/><Relationship Id="rId8" Type="http://schemas.openxmlformats.org/officeDocument/2006/relationships/hyperlink" Target="https://www.fullpicture.app/item/c19505f25ebf94f9fd15702bfc1f4f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2023-08-16T13:30:00+02:00</dcterms:created>
  <dcterms:modified xsi:type="dcterms:W3CDTF">2023-08-16T13:30:00+02:00</dcterms:modified>
</cp:coreProperties>
</file>

<file path=docProps/custom.xml><?xml version="1.0" encoding="utf-8"?>
<Properties xmlns="http://schemas.openxmlformats.org/officeDocument/2006/custom-properties" xmlns:vt="http://schemas.openxmlformats.org/officeDocument/2006/docPropsVTypes"/>
</file>