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Can executive mobility reduce the stock price crash risk? Evidence from China</w:t>
      </w:r>
      <w:br/>
      <w:hyperlink r:id="rId7" w:history="1">
        <w:r>
          <w:rPr>
            <w:color w:val="2980b9"/>
            <w:u w:val="single"/>
          </w:rPr>
          <w:t xml:space="preserve">https://www.tandfonline.com/doi/full/10.1080/20954816.2022.2042789</w:t>
        </w:r>
      </w:hyperlink>
    </w:p>
    <w:p>
      <w:pPr>
        <w:pStyle w:val="Heading1"/>
      </w:pPr>
      <w:bookmarkStart w:id="2" w:name="_Toc2"/>
      <w:r>
        <w:t>Article summary:</w:t>
      </w:r>
      <w:bookmarkEnd w:id="2"/>
    </w:p>
    <w:p>
      <w:pPr>
        <w:jc w:val="both"/>
      </w:pPr>
      <w:r>
        <w:rPr/>
        <w:t xml:space="preserve">1. Stock price crash risk is a major concern for investors in China's A-share listed companies, and identifying factors that suppress this risk is of practical significance.</w:t>
      </w:r>
    </w:p>
    <w:p>
      <w:pPr>
        <w:jc w:val="both"/>
      </w:pPr>
      <w:r>
        <w:rPr/>
        <w:t xml:space="preserve">2. Previous research has focused on personal characteristics of internal controllers, but this study examines the impact of executive turnover on stock price crash risk, arguing that executives' agency, relationship networks, decision-making, and preferences are important to a company's economic activities.</w:t>
      </w:r>
    </w:p>
    <w:p>
      <w:pPr>
        <w:jc w:val="both"/>
      </w:pPr>
      <w:r>
        <w:rPr/>
        <w:t xml:space="preserve">3. The study proposes that executive mobility can reduce information asymmetry and alleviate stock price crash risk, and suggests that employee salaries may play an intermediary role in this relationship.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该文章提出了一个问题：高管流动性是否能够降低股价崩盘的风险。然而，该文章存在一些潜在的偏见和不足之处。</w:t>
      </w:r>
    </w:p>
    <w:p>
      <w:pPr>
        <w:jc w:val="both"/>
      </w:pPr>
      <w:r>
        <w:rPr/>
        <w:t xml:space="preserve"/>
      </w:r>
    </w:p>
    <w:p>
      <w:pPr>
        <w:jc w:val="both"/>
      </w:pPr>
      <w:r>
        <w:rPr/>
        <w:t xml:space="preserve">首先，该文章没有考虑到其他可能影响股价崩盘风险的因素。例如，市场环境、公司治理结构、财务报告等因素都可能对股价崩盘风险产生影响。因此，仅仅从高管流动性这一角度来研究股价崩盘风险是片面的。</w:t>
      </w:r>
    </w:p>
    <w:p>
      <w:pPr>
        <w:jc w:val="both"/>
      </w:pPr>
      <w:r>
        <w:rPr/>
        <w:t xml:space="preserve"/>
      </w:r>
    </w:p>
    <w:p>
      <w:pPr>
        <w:jc w:val="both"/>
      </w:pPr>
      <w:r>
        <w:rPr/>
        <w:t xml:space="preserve">其次，该文章提出了一个假设：高管流动性可以减少股价崩盘风险。然而，该假设缺乏充分的证据支持。作者没有提供足够的数据和实证分析来证明这个假设是否成立。</w:t>
      </w:r>
    </w:p>
    <w:p>
      <w:pPr>
        <w:jc w:val="both"/>
      </w:pPr>
      <w:r>
        <w:rPr/>
        <w:t xml:space="preserve"/>
      </w:r>
    </w:p>
    <w:p>
      <w:pPr>
        <w:jc w:val="both"/>
      </w:pPr>
      <w:r>
        <w:rPr/>
        <w:t xml:space="preserve">此外，该文章还存在一些宣传内容和偏袒现象。例如，在介绍股价崩盘风险时，作者只列举了一些中国A股上市公司的案例，并没有涉及其他国家或地区的情况。这种局限性可能会导致读者对中国A股市场产生过度担忧。</w:t>
      </w:r>
    </w:p>
    <w:p>
      <w:pPr>
        <w:jc w:val="both"/>
      </w:pPr>
      <w:r>
        <w:rPr/>
        <w:t xml:space="preserve"/>
      </w:r>
    </w:p>
    <w:p>
      <w:pPr>
        <w:jc w:val="both"/>
      </w:pPr>
      <w:r>
        <w:rPr/>
        <w:t xml:space="preserve">最后，该文章也没有平等地呈现双方观点。作者只关注了高管流动性对股价崩盘风险的影响，而没有探讨其他可能的因素。这种单一视角可能会导致读者对问题的理解不够全面。</w:t>
      </w:r>
    </w:p>
    <w:p>
      <w:pPr>
        <w:jc w:val="both"/>
      </w:pPr>
      <w:r>
        <w:rPr/>
        <w:t xml:space="preserve"/>
      </w:r>
    </w:p>
    <w:p>
      <w:pPr>
        <w:jc w:val="both"/>
      </w:pPr>
      <w:r>
        <w:rPr/>
        <w:t xml:space="preserve">综上所述，该文章存在一些潜在的偏见和不足之处。作者需要更加全面地考虑问题，并提供充分的证据来支持自己的观点。</w:t>
      </w:r>
    </w:p>
    <w:p>
      <w:pPr>
        <w:pStyle w:val="Heading1"/>
      </w:pPr>
      <w:bookmarkStart w:id="5" w:name="_Toc5"/>
      <w:r>
        <w:t>Topics for further research:</w:t>
      </w:r>
      <w:bookmarkEnd w:id="5"/>
    </w:p>
    <w:p>
      <w:pPr>
        <w:spacing w:after="0"/>
        <w:numPr>
          <w:ilvl w:val="0"/>
          <w:numId w:val="2"/>
        </w:numPr>
      </w:pPr>
      <w:r>
        <w:rPr/>
        <w:t xml:space="preserve">Other factors affecting stock price crash risk
</w:t>
      </w:r>
    </w:p>
    <w:p>
      <w:pPr>
        <w:spacing w:after="0"/>
        <w:numPr>
          <w:ilvl w:val="0"/>
          <w:numId w:val="2"/>
        </w:numPr>
      </w:pPr>
      <w:r>
        <w:rPr/>
        <w:t xml:space="preserve">Lack of evidence supporting the hypothesis
</w:t>
      </w:r>
    </w:p>
    <w:p>
      <w:pPr>
        <w:spacing w:after="0"/>
        <w:numPr>
          <w:ilvl w:val="0"/>
          <w:numId w:val="2"/>
        </w:numPr>
      </w:pPr>
      <w:r>
        <w:rPr/>
        <w:t xml:space="preserve">Biased and promotional content
</w:t>
      </w:r>
    </w:p>
    <w:p>
      <w:pPr>
        <w:spacing w:after="0"/>
        <w:numPr>
          <w:ilvl w:val="0"/>
          <w:numId w:val="2"/>
        </w:numPr>
      </w:pPr>
      <w:r>
        <w:rPr/>
        <w:t xml:space="preserve">Limited scope of examples
</w:t>
      </w:r>
    </w:p>
    <w:p>
      <w:pPr>
        <w:spacing w:after="0"/>
        <w:numPr>
          <w:ilvl w:val="0"/>
          <w:numId w:val="2"/>
        </w:numPr>
      </w:pPr>
      <w:r>
        <w:rPr/>
        <w:t xml:space="preserve">Failure to present both sides of the argument
</w:t>
      </w:r>
    </w:p>
    <w:p>
      <w:pPr>
        <w:numPr>
          <w:ilvl w:val="0"/>
          <w:numId w:val="2"/>
        </w:numPr>
      </w:pPr>
      <w:r>
        <w:rPr/>
        <w:t xml:space="preserve">Need for more comprehensive analysis and evidence</w:t>
      </w:r>
    </w:p>
    <w:p>
      <w:pPr>
        <w:pStyle w:val="Heading1"/>
      </w:pPr>
      <w:bookmarkStart w:id="6" w:name="_Toc6"/>
      <w:r>
        <w:t>Report location:</w:t>
      </w:r>
      <w:bookmarkEnd w:id="6"/>
    </w:p>
    <w:p>
      <w:hyperlink r:id="rId8" w:history="1">
        <w:r>
          <w:rPr>
            <w:color w:val="2980b9"/>
            <w:u w:val="single"/>
          </w:rPr>
          <w:t xml:space="preserve">https://www.fullpicture.app/item/c0ea1e0f193e6e7b52566175bc9764cd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BB47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0954816.2022.2042789" TargetMode="External"/><Relationship Id="rId8" Type="http://schemas.openxmlformats.org/officeDocument/2006/relationships/hyperlink" Target="https://www.fullpicture.app/item/c0ea1e0f193e6e7b52566175bc9764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2024-01-02T00:31:23+01:00</dcterms:created>
  <dcterms:modified xsi:type="dcterms:W3CDTF">2024-01-02T00:31:23+01:00</dcterms:modified>
</cp:coreProperties>
</file>

<file path=docProps/custom.xml><?xml version="1.0" encoding="utf-8"?>
<Properties xmlns="http://schemas.openxmlformats.org/officeDocument/2006/custom-properties" xmlns:vt="http://schemas.openxmlformats.org/officeDocument/2006/docPropsVTypes"/>
</file>