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Diritto successorio – divorzio.ch</w:t>
      </w:r>
      <w:br/>
      <w:hyperlink r:id="rId7" w:history="1">
        <w:r>
          <w:rPr>
            <w:color w:val="2980b9"/>
            <w:u w:val="single"/>
          </w:rPr>
          <w:t xml:space="preserve">https://divorzio.ch/diritto-successorio/</w:t>
        </w:r>
      </w:hyperlink>
    </w:p>
    <w:p>
      <w:pPr>
        <w:pStyle w:val="Heading1"/>
      </w:pPr>
      <w:bookmarkStart w:id="2" w:name="_Toc2"/>
      <w:r>
        <w:t>Article summary:</w:t>
      </w:r>
      <w:bookmarkEnd w:id="2"/>
    </w:p>
    <w:p>
      <w:pPr>
        <w:jc w:val="both"/>
      </w:pPr>
      <w:r>
        <w:rPr/>
        <w:t xml:space="preserve">1. Dal 1° gennaio 2023 è entrata in vigore una revisione del diritto successorio che permette agli ereditandi di disporre liberamente di una parte maggiore della loro successione, riducendo la quota legittima dei figli da tre quarti a metà.</w:t>
      </w:r>
    </w:p>
    <w:p>
      <w:pPr>
        <w:jc w:val="both"/>
      </w:pPr>
      <w:r>
        <w:rPr/>
        <w:t xml:space="preserve">2. La successione legale regola la divisione dei beni di una persona deceduta in assenza di disposizioni testamentarie. Secondo il diritto svizzero, ereditano prima i parenti più vicini, come il coniuge e i discendenti, seguiti dai genitori e poi dai nonni.</w:t>
      </w:r>
    </w:p>
    <w:p>
      <w:pPr>
        <w:jc w:val="both"/>
      </w:pPr>
      <w:r>
        <w:rPr/>
        <w:t xml:space="preserve">3. La successione testamentaria si verifica quando il defunto ha lasciato un testamento o un contratto successorio. Il testamento può essere redatto in tre forme: olografo, pubblico o segreto, mentre il contratto successorio richiede la partecipazione di almeno due persone.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L'articolo in questione tratta della revisione del diritto successorio in Svizzera, che è entrata in vigore il 1° gennaio 2023. L'autore afferma che il nuovo diritto successorio è più flessibile rispetto al precedente, consentendo agli ereditandi di disporre liberamente di una parte maggiore della loro successione. Tuttavia, l'articolo non fornisce fonti o riferimenti specifici per supportare questa affermazione.</w:t>
      </w:r>
    </w:p>
    <w:p>
      <w:pPr>
        <w:jc w:val="both"/>
      </w:pPr>
      <w:r>
        <w:rPr/>
        <w:t xml:space="preserve"/>
      </w:r>
    </w:p>
    <w:p>
      <w:pPr>
        <w:jc w:val="both"/>
      </w:pPr>
      <w:r>
        <w:rPr/>
        <w:t xml:space="preserve">Inoltre, l'autore menziona che precedentemente ai figli spettava tre quarti della quota ereditaria legale come legittima, mentre ora spetta loro solo la metà. Tuttavia, non viene fornita alcuna spiegazione sul motivo di questo cambiamento o sulle ragioni alla base della revisione del diritto successorio.</w:t>
      </w:r>
    </w:p>
    <w:p>
      <w:pPr>
        <w:jc w:val="both"/>
      </w:pPr>
      <w:r>
        <w:rPr/>
        <w:t xml:space="preserve"/>
      </w:r>
    </w:p>
    <w:p>
      <w:pPr>
        <w:jc w:val="both"/>
      </w:pPr>
      <w:r>
        <w:rPr/>
        <w:t xml:space="preserve">L'articolo continua a discutere delle differenze tra successione testamentaria e successione legale, ma manca di approfondire le implicazioni e le conseguenze di tali distinzioni. Non vengono forniti esempi concreti o casi studio per illustrare come queste differenze possono influire sulla divisione dei beni dopo la morte di una persona.</w:t>
      </w:r>
    </w:p>
    <w:p>
      <w:pPr>
        <w:jc w:val="both"/>
      </w:pPr>
      <w:r>
        <w:rPr/>
        <w:t xml:space="preserve"/>
      </w:r>
    </w:p>
    <w:p>
      <w:pPr>
        <w:jc w:val="both"/>
      </w:pPr>
      <w:r>
        <w:rPr/>
        <w:t xml:space="preserve">Inoltre, l'articolo sembra avere un tono promozionale verso il sito web divorzio.ch, citando ripetutamente i link alle diverse sezioni del sito senza fornire ulteriori informazioni o analisi critica. Questo solleva dubbi sulla parzialità dell'autore e sulla sua intenzione di promuovere il sito web piuttosto che fornire un'analisi obiettiva del diritto successorio.</w:t>
      </w:r>
    </w:p>
    <w:p>
      <w:pPr>
        <w:jc w:val="both"/>
      </w:pPr>
      <w:r>
        <w:rPr/>
        <w:t xml:space="preserve"/>
      </w:r>
    </w:p>
    <w:p>
      <w:pPr>
        <w:jc w:val="both"/>
      </w:pPr>
      <w:r>
        <w:rPr/>
        <w:t xml:space="preserve">Infine, l'articolo manca di riferimenti a fonti esterne o studi giuridici per supportare le sue affermazioni. Non viene fornita alcuna prova o argomentazione per sostenere le dichiarazioni fatte sull'impatto della revisione del diritto successorio o sulle conseguenze delle diverse forme di successione.</w:t>
      </w:r>
    </w:p>
    <w:p>
      <w:pPr>
        <w:jc w:val="both"/>
      </w:pPr>
      <w:r>
        <w:rPr/>
        <w:t xml:space="preserve"/>
      </w:r>
    </w:p>
    <w:p>
      <w:pPr>
        <w:jc w:val="both"/>
      </w:pPr>
      <w:r>
        <w:rPr/>
        <w:t xml:space="preserve">In conclusione, l'articolo presenta diversi pregiudizi e lacune nel suo contenuto. Mancano prove e argomentazioni per supportare le affermazioni fatte, ci sono rapporti unilaterali verso il sito web divorzio.ch e mancano punti di considerazione importanti. L'autore sembra avere un tono promozionale piuttosto che fornire un'analisi critica e obiettiva del diritto successorio in Svizzera.</w:t>
      </w:r>
    </w:p>
    <w:p>
      <w:pPr>
        <w:pStyle w:val="Heading1"/>
      </w:pPr>
      <w:bookmarkStart w:id="5" w:name="_Toc5"/>
      <w:r>
        <w:t>Topics for further research:</w:t>
      </w:r>
      <w:bookmarkEnd w:id="5"/>
    </w:p>
    <w:p>
      <w:pPr>
        <w:spacing w:after="0"/>
        <w:numPr>
          <w:ilvl w:val="0"/>
          <w:numId w:val="2"/>
        </w:numPr>
      </w:pPr>
      <w:r>
        <w:rPr/>
        <w:t xml:space="preserve">Revisione del diritto successorio in Svizzera: motivazioni e ragioni alla base del cambiamento.
</w:t>
      </w:r>
    </w:p>
    <w:p>
      <w:pPr>
        <w:spacing w:after="0"/>
        <w:numPr>
          <w:ilvl w:val="0"/>
          <w:numId w:val="2"/>
        </w:numPr>
      </w:pPr>
      <w:r>
        <w:rPr/>
        <w:t xml:space="preserve">Implicazioni e conseguenze della distinzione tra successione testamentaria e successione legale.
</w:t>
      </w:r>
    </w:p>
    <w:p>
      <w:pPr>
        <w:spacing w:after="0"/>
        <w:numPr>
          <w:ilvl w:val="0"/>
          <w:numId w:val="2"/>
        </w:numPr>
      </w:pPr>
      <w:r>
        <w:rPr/>
        <w:t xml:space="preserve">Esempi concreti di come le differenze nella successione possono influire sulla divisione dei beni dopo la morte di una persona.
</w:t>
      </w:r>
    </w:p>
    <w:p>
      <w:pPr>
        <w:spacing w:after="0"/>
        <w:numPr>
          <w:ilvl w:val="0"/>
          <w:numId w:val="2"/>
        </w:numPr>
      </w:pPr>
      <w:r>
        <w:rPr/>
        <w:t xml:space="preserve">Analisi critica e obiettiva del diritto successorio in Svizzera</w:t>
      </w:r>
    </w:p>
    <w:p>
      <w:pPr>
        <w:spacing w:after="0"/>
        <w:numPr>
          <w:ilvl w:val="0"/>
          <w:numId w:val="2"/>
        </w:numPr>
      </w:pPr>
      <w:r>
        <w:rPr/>
        <w:t xml:space="preserve">con riferimenti a fonti esterne e studi giuridici.
</w:t>
      </w:r>
    </w:p>
    <w:p>
      <w:pPr>
        <w:spacing w:after="0"/>
        <w:numPr>
          <w:ilvl w:val="0"/>
          <w:numId w:val="2"/>
        </w:numPr>
      </w:pPr>
      <w:r>
        <w:rPr/>
        <w:t xml:space="preserve">Impatto della revisione del diritto successorio sulla libertà di disposizione degli ereditandi.
</w:t>
      </w:r>
    </w:p>
    <w:p>
      <w:pPr>
        <w:numPr>
          <w:ilvl w:val="0"/>
          <w:numId w:val="2"/>
        </w:numPr>
      </w:pPr>
      <w:r>
        <w:rPr/>
        <w:t xml:space="preserve">Valutazione imparziale del sito web divorzio.ch e delle informazioni fornite sul diritto successorio in Svizzera.</w:t>
      </w:r>
    </w:p>
    <w:p>
      <w:pPr>
        <w:pStyle w:val="Heading1"/>
      </w:pPr>
      <w:bookmarkStart w:id="6" w:name="_Toc6"/>
      <w:r>
        <w:t>Report location:</w:t>
      </w:r>
      <w:bookmarkEnd w:id="6"/>
    </w:p>
    <w:p>
      <w:hyperlink r:id="rId8" w:history="1">
        <w:r>
          <w:rPr>
            <w:color w:val="2980b9"/>
            <w:u w:val="single"/>
          </w:rPr>
          <w:t xml:space="preserve">https://www.fullpicture.app/item/c0e2629b9c3e2f71bc4b1b2e12027019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4CE6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vorzio.ch/diritto-successorio/" TargetMode="External"/><Relationship Id="rId8" Type="http://schemas.openxmlformats.org/officeDocument/2006/relationships/hyperlink" Target="https://www.fullpicture.app/item/c0e2629b9c3e2f71bc4b1b2e120270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2024-07-14T10:10:36+02:00</dcterms:created>
  <dcterms:modified xsi:type="dcterms:W3CDTF">2024-07-14T10:10:36+02:00</dcterms:modified>
</cp:coreProperties>
</file>

<file path=docProps/custom.xml><?xml version="1.0" encoding="utf-8"?>
<Properties xmlns="http://schemas.openxmlformats.org/officeDocument/2006/custom-properties" xmlns:vt="http://schemas.openxmlformats.org/officeDocument/2006/docPropsVTypes"/>
</file>