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Regional Citrate Anticoagulation Protocol for Patients with Presumed Absent Citrate Metabolism - PubMed</w:t>
      </w:r>
      <w:br/>
      <w:hyperlink r:id="rId7" w:history="1">
        <w:r>
          <w:rPr>
            <w:color w:val="2980b9"/>
            <w:u w:val="single"/>
          </w:rPr>
          <w:t xml:space="preserve">https://pubmed.ncbi.nlm.nih.gov/35373034/</w:t>
        </w:r>
      </w:hyperlink>
    </w:p>
    <w:p>
      <w:pPr>
        <w:pStyle w:val="Heading1"/>
      </w:pPr>
      <w:bookmarkStart w:id="2" w:name="_Toc2"/>
      <w:r>
        <w:t>Article summary:</w:t>
      </w:r>
      <w:bookmarkEnd w:id="2"/>
    </w:p>
    <w:p>
      <w:pPr>
        <w:jc w:val="both"/>
      </w:pPr>
      <w:r>
        <w:rPr/>
        <w:t xml:space="preserve">1. 该研究设计了一种个性化预计算流量设置的协议，用于具有假定缺乏柠檬酸代谢的患者，以消除柠檬酸毒性的风险，并保持连续肾脏替代治疗（CKRT）电路钙质平衡和正常的全身离子化钙水平。</w:t>
      </w:r>
    </w:p>
    <w:p>
      <w:pPr>
        <w:jc w:val="both"/>
      </w:pPr>
      <w:r>
        <w:rPr/>
        <w:t xml:space="preserve">2. 在31名患者中，97%患有急性肾损伤（AKI），52%患有急性肝功能衰竭，16%患有肝硬化。使用该协议时，第一个血滤器寿命超过70小时。发生轻度低钙血症的患者在4小时内为2例，在6小时内通过按照方案给予的钙输注纠正，无需额外的钙补充。</w:t>
      </w:r>
    </w:p>
    <w:p>
      <w:pPr>
        <w:jc w:val="both"/>
      </w:pPr>
      <w:r>
        <w:rPr/>
        <w:t xml:space="preserve">3. 该协议可以在没有禁忌症的情况下使用，并通过高固定ACDA输注速率与血流速率之比来保持电路通畅。即使在缺乏柠檬酸代谢的患者中，保持透析器上单次柠檬酸提取率&gt;0.75也能最大程度地减少柠檬酸毒性的风险。根据患者的白蛋白水平和滤器流出液流速，从表格中预先计算个性化的初始钙输注速率，可以保持CKRT电路钙质平衡和正常的全身离子化钙水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这篇文章是关于使用区域性柠檬酸抗凝方案治疗假定无柠檬酸代谢的患者的研究。然而，该文章存在一些问题和偏见。</w:t>
      </w:r>
    </w:p>
    <w:p>
      <w:pPr>
        <w:jc w:val="both"/>
      </w:pPr>
      <w:r>
        <w:rPr/>
        <w:t xml:space="preserve"/>
      </w:r>
    </w:p>
    <w:p>
      <w:pPr>
        <w:jc w:val="both"/>
      </w:pPr>
      <w:r>
        <w:rPr/>
        <w:t xml:space="preserve">首先，该研究是一项单中心前瞻性队列研究，样本量较小且仅包括31名患者。由于样本量较小，结果可能不具有代表性，并且可能存在选择偏差。</w:t>
      </w:r>
    </w:p>
    <w:p>
      <w:pPr>
        <w:jc w:val="both"/>
      </w:pPr>
      <w:r>
        <w:rPr/>
        <w:t xml:space="preserve"/>
      </w:r>
    </w:p>
    <w:p>
      <w:pPr>
        <w:jc w:val="both"/>
      </w:pPr>
      <w:r>
        <w:rPr/>
        <w:t xml:space="preserve">其次，该研究没有提供与其他抗凝方法进行比较的数据。没有将区域性柠檬酸抗凝与传统肝素抗凝或其他抗凝方法进行比较，因此无法确定区域性柠檬酸抗凝是否更有效或更安全。</w:t>
      </w:r>
    </w:p>
    <w:p>
      <w:pPr>
        <w:jc w:val="both"/>
      </w:pPr>
      <w:r>
        <w:rPr/>
        <w:t xml:space="preserve"/>
      </w:r>
    </w:p>
    <w:p>
      <w:pPr>
        <w:jc w:val="both"/>
      </w:pPr>
      <w:r>
        <w:rPr/>
        <w:t xml:space="preserve">此外，该研究未探讨可能的风险和副作用。尽管作者声称使用个体化预计流量设置的协议可以消除柠檬酸毒性的风险，并保持正常的系统离子化钙水平，但并未提供详细说明如何处理可能出现的不良反应或并发症。</w:t>
      </w:r>
    </w:p>
    <w:p>
      <w:pPr>
        <w:jc w:val="both"/>
      </w:pPr>
      <w:r>
        <w:rPr/>
        <w:t xml:space="preserve"/>
      </w:r>
    </w:p>
    <w:p>
      <w:pPr>
        <w:jc w:val="both"/>
      </w:pPr>
      <w:r>
        <w:rPr/>
        <w:t xml:space="preserve">另一个问题是缺乏对反驳观点的探索。文章只呈现了支持区域性柠檬酸抗凝的证据，而没有探讨可能存在的反对观点或争议。这种片面的报道可能导致读者对该方法的效果和安全性产生误解。</w:t>
      </w:r>
    </w:p>
    <w:p>
      <w:pPr>
        <w:jc w:val="both"/>
      </w:pPr>
      <w:r>
        <w:rPr/>
        <w:t xml:space="preserve"/>
      </w:r>
    </w:p>
    <w:p>
      <w:pPr>
        <w:jc w:val="both"/>
      </w:pPr>
      <w:r>
        <w:rPr/>
        <w:t xml:space="preserve">最后，该文章没有提供足够的证据来支持其主张。虽然作者声称该协议可以有效地维持血液滤过装置通畅，并保持正常的钙平衡和离子化钙水平，但并未提供充分的数据和统计分析来支持这些主张。</w:t>
      </w:r>
    </w:p>
    <w:p>
      <w:pPr>
        <w:jc w:val="both"/>
      </w:pPr>
      <w:r>
        <w:rPr/>
        <w:t xml:space="preserve"/>
      </w:r>
    </w:p>
    <w:p>
      <w:pPr>
        <w:jc w:val="both"/>
      </w:pPr>
      <w:r>
        <w:rPr/>
        <w:t xml:space="preserve">综上所述，这篇文章存在一些问题和偏见，包括样本量小、缺乏比较组、未探讨风险和副作用、缺乏对反驳观点的探索以及缺乏充分的证据支持。读者应该谨慎对待该研究结果，并寻找更多相关研究来验证其结论。</w:t>
      </w:r>
    </w:p>
    <w:p>
      <w:pPr>
        <w:pStyle w:val="Heading1"/>
      </w:pPr>
      <w:bookmarkStart w:id="5" w:name="_Toc5"/>
      <w:r>
        <w:t>Topics for further research:</w:t>
      </w:r>
      <w:bookmarkEnd w:id="5"/>
    </w:p>
    <w:p>
      <w:pPr>
        <w:spacing w:after="0"/>
        <w:numPr>
          <w:ilvl w:val="0"/>
          <w:numId w:val="2"/>
        </w:numPr>
      </w:pPr>
      <w:r>
        <w:rPr/>
        <w:t xml:space="preserve">区域性柠檬酸抗凝方案的有效性和安全性
</w:t>
      </w:r>
    </w:p>
    <w:p>
      <w:pPr>
        <w:spacing w:after="0"/>
        <w:numPr>
          <w:ilvl w:val="0"/>
          <w:numId w:val="2"/>
        </w:numPr>
      </w:pPr>
      <w:r>
        <w:rPr/>
        <w:t xml:space="preserve">柠檬酸代谢缺陷的治疗方法
</w:t>
      </w:r>
    </w:p>
    <w:p>
      <w:pPr>
        <w:spacing w:after="0"/>
        <w:numPr>
          <w:ilvl w:val="0"/>
          <w:numId w:val="2"/>
        </w:numPr>
      </w:pPr>
      <w:r>
        <w:rPr/>
        <w:t xml:space="preserve">柠檬酸抗凝与传统肝素抗凝的比较
</w:t>
      </w:r>
    </w:p>
    <w:p>
      <w:pPr>
        <w:spacing w:after="0"/>
        <w:numPr>
          <w:ilvl w:val="0"/>
          <w:numId w:val="2"/>
        </w:numPr>
      </w:pPr>
      <w:r>
        <w:rPr/>
        <w:t xml:space="preserve">区域性柠檬酸抗凝的风险和副作用
</w:t>
      </w:r>
    </w:p>
    <w:p>
      <w:pPr>
        <w:spacing w:after="0"/>
        <w:numPr>
          <w:ilvl w:val="0"/>
          <w:numId w:val="2"/>
        </w:numPr>
      </w:pPr>
      <w:r>
        <w:rPr/>
        <w:t xml:space="preserve">反驳观点和争议
</w:t>
      </w:r>
    </w:p>
    <w:p>
      <w:pPr>
        <w:numPr>
          <w:ilvl w:val="0"/>
          <w:numId w:val="2"/>
        </w:numPr>
      </w:pPr>
      <w:r>
        <w:rPr/>
        <w:t xml:space="preserve">对区域性柠檬酸抗凝方案的证据支持</w:t>
      </w:r>
    </w:p>
    <w:p>
      <w:pPr>
        <w:pStyle w:val="Heading1"/>
      </w:pPr>
      <w:bookmarkStart w:id="6" w:name="_Toc6"/>
      <w:r>
        <w:t>Report location:</w:t>
      </w:r>
      <w:bookmarkEnd w:id="6"/>
    </w:p>
    <w:p>
      <w:hyperlink r:id="rId8" w:history="1">
        <w:r>
          <w:rPr>
            <w:color w:val="2980b9"/>
            <w:u w:val="single"/>
          </w:rPr>
          <w:t xml:space="preserve">https://www.fullpicture.app/item/c060c4c74f4b78cdbc907365df80e829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6FB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73034/" TargetMode="External"/><Relationship Id="rId8" Type="http://schemas.openxmlformats.org/officeDocument/2006/relationships/hyperlink" Target="https://www.fullpicture.app/item/c060c4c74f4b78cdbc907365df80e8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2024-04-22T12:22:19+02:00</dcterms:created>
  <dcterms:modified xsi:type="dcterms:W3CDTF">2024-04-22T12:22:19+02:00</dcterms:modified>
</cp:coreProperties>
</file>

<file path=docProps/custom.xml><?xml version="1.0" encoding="utf-8"?>
<Properties xmlns="http://schemas.openxmlformats.org/officeDocument/2006/custom-properties" xmlns:vt="http://schemas.openxmlformats.org/officeDocument/2006/docPropsVTypes"/>
</file>