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Comparing the responses of the UK, Sweden and Denmark to COVID-19 using counterfactual modelling | Scientific Reports</w:t>
      </w:r>
      <w:br/>
      <w:hyperlink r:id="rId7" w:history="1">
        <w:r>
          <w:rPr>
            <w:color w:val="2980b9"/>
            <w:u w:val="single"/>
          </w:rPr>
          <w:t xml:space="preserve">https://www.nature.com/articles/s41598-021-95699-9</w:t>
        </w:r>
      </w:hyperlink>
    </w:p>
    <w:p>
      <w:pPr>
        <w:pStyle w:val="Heading1"/>
      </w:pPr>
      <w:bookmarkStart w:id="2" w:name="_Toc2"/>
      <w:r>
        <w:t>Article summary:</w:t>
      </w:r>
      <w:bookmarkEnd w:id="2"/>
    </w:p>
    <w:p>
      <w:pPr>
        <w:jc w:val="both"/>
      </w:pPr>
      <w:r>
        <w:rPr/>
        <w:t xml:space="preserve">1. The UK, Denmark, and Sweden all successfully suppressed the first wave of their respective COVID-19 epidemics, but the timing and effectiveness of interventions varied substantially between those countries.</w:t>
      </w:r>
    </w:p>
    <w:p>
      <w:pPr>
        <w:jc w:val="both"/>
      </w:pPr>
      <w:r>
        <w:rPr/>
        <w:t xml:space="preserve">2. Counterfactual analysis shows that small changes in the timing or effectiveness of intervention policies can lead to large changes in the resulting cumulative death toll, especially in the context of rapid exponential growth initially seen in these countries.</w:t>
      </w:r>
    </w:p>
    <w:p>
      <w:pPr>
        <w:jc w:val="both"/>
      </w:pPr>
      <w:r>
        <w:rPr/>
        <w:t xml:space="preserve">3. While all three countries successfully suppressed COVID-19 transmission, Sweden's slightly lower effectiveness yielded substantial differences in predicted final mortality compared to Denmark and the UK.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"Comparing the responses of the UK, Sweden and Denmark to COVID-19 using counterfactual modelling" provides a detailed analysis of the different policy responses to COVID-19 in Sweden, Denmark, and the UK. The authors use counterfactual modeling to explore how the final death toll is influenced by both the effectiveness of interventions and the timing of interventions relative to the stage of the epidemic in each country.</w:t>
      </w:r>
    </w:p>
    <w:p>
      <w:pPr>
        <w:jc w:val="both"/>
      </w:pPr>
      <w:r>
        <w:rPr/>
        <w:t xml:space="preserve"/>
      </w:r>
    </w:p>
    <w:p>
      <w:pPr>
        <w:jc w:val="both"/>
      </w:pPr>
      <w:r>
        <w:rPr/>
        <w:t xml:space="preserve">The article presents a clear and informative comparison of mortality trends in these countries. However, there are some potential biases in this analysis that need to be considered. For example, the authors assume that population adherence with government recommendations would have been as high in Denmark and the UK as it was in Sweden. This may not be a valid assumption given differences in population trust in public institutions between these countries.</w:t>
      </w:r>
    </w:p>
    <w:p>
      <w:pPr>
        <w:jc w:val="both"/>
      </w:pPr>
      <w:r>
        <w:rPr/>
        <w:t xml:space="preserve"/>
      </w:r>
    </w:p>
    <w:p>
      <w:pPr>
        <w:jc w:val="both"/>
      </w:pPr>
      <w:r>
        <w:rPr/>
        <w:t xml:space="preserve">Additionally, while the article acknowledges demographic and cultural differences between these countries, it does not fully explore how these factors may have influenced their respective responses to COVID-19. For example, Sweden has a higher proportion of one-person households than Denmark or the UK, which may have made social distancing measures more feasible for its population.</w:t>
      </w:r>
    </w:p>
    <w:p>
      <w:pPr>
        <w:jc w:val="both"/>
      </w:pPr>
      <w:r>
        <w:rPr/>
        <w:t xml:space="preserve"/>
      </w:r>
    </w:p>
    <w:p>
      <w:pPr>
        <w:jc w:val="both"/>
      </w:pPr>
      <w:r>
        <w:rPr/>
        <w:t xml:space="preserve">Furthermore, while the article provides insights into best practices for controlling future waves of COVID-19, it does not address potential risks associated with adopting policies from other countries without considering their unique contexts. For example, implementing policies that were effective in one country may not be effective or appropriate for another country due to differences in demographics, culture, healthcare systems, and other factors.</w:t>
      </w:r>
    </w:p>
    <w:p>
      <w:pPr>
        <w:jc w:val="both"/>
      </w:pPr>
      <w:r>
        <w:rPr/>
        <w:t xml:space="preserve"/>
      </w:r>
    </w:p>
    <w:p>
      <w:pPr>
        <w:jc w:val="both"/>
      </w:pPr>
      <w:r>
        <w:rPr/>
        <w:t xml:space="preserve">Overall, while this article provides valuable insights into COVID-19 policy responses in different countries and their potential impacts on mortality rates, it is important to consider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Demographic and cultural factors influencing COVID-19 policy responses
</w:t>
      </w:r>
    </w:p>
    <w:p>
      <w:pPr>
        <w:spacing w:after="0"/>
        <w:numPr>
          <w:ilvl w:val="0"/>
          <w:numId w:val="2"/>
        </w:numPr>
      </w:pPr>
      <w:r>
        <w:rPr/>
        <w:t xml:space="preserve">Population trust in public institutions and adherence to government recommendations
</w:t>
      </w:r>
    </w:p>
    <w:p>
      <w:pPr>
        <w:spacing w:after="0"/>
        <w:numPr>
          <w:ilvl w:val="0"/>
          <w:numId w:val="2"/>
        </w:numPr>
      </w:pPr>
      <w:r>
        <w:rPr/>
        <w:t xml:space="preserve">Feasibility of social distancing measures in different countries
</w:t>
      </w:r>
    </w:p>
    <w:p>
      <w:pPr>
        <w:spacing w:after="0"/>
        <w:numPr>
          <w:ilvl w:val="0"/>
          <w:numId w:val="2"/>
        </w:numPr>
      </w:pPr>
      <w:r>
        <w:rPr/>
        <w:t xml:space="preserve">Healthcare system differences and their impact on COVID-19 outcomes
</w:t>
      </w:r>
    </w:p>
    <w:p>
      <w:pPr>
        <w:spacing w:after="0"/>
        <w:numPr>
          <w:ilvl w:val="0"/>
          <w:numId w:val="2"/>
        </w:numPr>
      </w:pPr>
      <w:r>
        <w:rPr/>
        <w:t xml:space="preserve">Risks associated with adopting policies from other countries without considering unique contexts
</w:t>
      </w:r>
    </w:p>
    <w:p>
      <w:pPr>
        <w:numPr>
          <w:ilvl w:val="0"/>
          <w:numId w:val="2"/>
        </w:numPr>
      </w:pPr>
      <w:r>
        <w:rPr/>
        <w:t xml:space="preserve">Long-term impacts of COVID-19 policies on mental health and well-being.</w:t>
      </w:r>
    </w:p>
    <w:p>
      <w:pPr>
        <w:pStyle w:val="Heading1"/>
      </w:pPr>
      <w:bookmarkStart w:id="6" w:name="_Toc6"/>
      <w:r>
        <w:t>Report location:</w:t>
      </w:r>
      <w:bookmarkEnd w:id="6"/>
    </w:p>
    <w:p>
      <w:hyperlink r:id="rId8" w:history="1">
        <w:r>
          <w:rPr>
            <w:color w:val="2980b9"/>
            <w:u w:val="single"/>
          </w:rPr>
          <w:t xml:space="preserve">https://www.fullpicture.app/item/bfc6072b6e0a1fa52fdb26fed7d61c5d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2738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1-95699-9" TargetMode="External"/><Relationship Id="rId8" Type="http://schemas.openxmlformats.org/officeDocument/2006/relationships/hyperlink" Target="https://www.fullpicture.app/item/bfc6072b6e0a1fa52fdb26fed7d61c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2024-01-05T16:23:22+01:00</dcterms:created>
  <dcterms:modified xsi:type="dcterms:W3CDTF">2024-01-05T16:23:22+01:00</dcterms:modified>
</cp:coreProperties>
</file>

<file path=docProps/custom.xml><?xml version="1.0" encoding="utf-8"?>
<Properties xmlns="http://schemas.openxmlformats.org/officeDocument/2006/custom-properties" xmlns:vt="http://schemas.openxmlformats.org/officeDocument/2006/docPropsVTypes"/>
</file>