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Transporters involved in the hepatic uptake of 99mTc-mebrofenin and indocyanine green - ScienceDirect</w:t>
      </w:r>
      <w:br/>
      <w:hyperlink r:id="rId7" w:history="1">
        <w:r>
          <w:rPr>
            <w:color w:val="2980b9"/>
            <w:u w:val="single"/>
          </w:rPr>
          <w:t xml:space="preserve">https://www.sciencedirect.com/science/article/pii/S0168827810008408</w:t>
        </w:r>
      </w:hyperlink>
    </w:p>
    <w:p>
      <w:pPr>
        <w:pStyle w:val="Heading1"/>
      </w:pPr>
      <w:bookmarkStart w:id="2" w:name="_Toc2"/>
      <w:r>
        <w:t>Article summary:</w:t>
      </w:r>
      <w:bookmarkEnd w:id="2"/>
    </w:p>
    <w:p>
      <w:pPr>
        <w:jc w:val="both"/>
      </w:pPr>
      <w:r>
        <w:rPr/>
        <w:t xml:space="preserve">1. 99mTc-mebrofenin and indocyanine green (ICG) are commonly used for assessing hepatic function before and after liver surgery.</w:t>
      </w:r>
    </w:p>
    <w:p>
      <w:pPr>
        <w:jc w:val="both"/>
      </w:pPr>
      <w:r>
        <w:rPr/>
        <w:t xml:space="preserve">2. The specific human hepatic transporters for 99mTc-mebrofenin are OATP1B1 and OATP1B3, while ICG is transported by OATP1B3 and NTCP.</w:t>
      </w:r>
    </w:p>
    <w:p>
      <w:pPr>
        <w:jc w:val="both"/>
      </w:pPr>
      <w:r>
        <w:rPr/>
        <w:t xml:space="preserve">3. The uptake mechanisms of 99mTc-mebrofenin and ICG in the liver involve organic anion transporting polypeptides (OATPs) and Na+-taurocholate co-transporting polypeptide (NTCP).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对于这篇文章的批判性分析，以下是一些可能的问题和观点：</w:t>
      </w:r>
    </w:p>
    <w:p>
      <w:pPr>
        <w:jc w:val="both"/>
      </w:pPr>
      <w:r>
        <w:rPr/>
        <w:t xml:space="preserve"/>
      </w:r>
    </w:p>
    <w:p>
      <w:pPr>
        <w:jc w:val="both"/>
      </w:pPr>
      <w:r>
        <w:rPr/>
        <w:t xml:space="preserve">1. 偏见及其来源：文章没有明确提到作者的背景或潜在利益冲突。如果作者有与研究相关的商业或财务关系，那么他们可能会有偏见来支持特定的结果。</w:t>
      </w:r>
    </w:p>
    <w:p>
      <w:pPr>
        <w:jc w:val="both"/>
      </w:pPr>
      <w:r>
        <w:rPr/>
        <w:t xml:space="preserve"/>
      </w:r>
    </w:p>
    <w:p>
      <w:pPr>
        <w:jc w:val="both"/>
      </w:pPr>
      <w:r>
        <w:rPr/>
        <w:t xml:space="preserve">2. 片面报道：文章只关注了99mTc-mebrofenin和ICG在肝脏摄取方面的相似性和差异性，而没有探讨其他可能影响肝功能评估的因素。这种片面报道可能导致读者对这两种测试方法的全面理解不足。</w:t>
      </w:r>
    </w:p>
    <w:p>
      <w:pPr>
        <w:jc w:val="both"/>
      </w:pPr>
      <w:r>
        <w:rPr/>
        <w:t xml:space="preserve"/>
      </w:r>
    </w:p>
    <w:p>
      <w:pPr>
        <w:jc w:val="both"/>
      </w:pPr>
      <w:r>
        <w:rPr/>
        <w:t xml:space="preserve">3. 无根据的主张：文章声称ICG和99mTc-mebrofenin被OATP1B3转运，但没有提供充分的证据来支持这一主张。缺乏实验证据使得读者难以确定这个结论是否可靠。</w:t>
      </w:r>
    </w:p>
    <w:p>
      <w:pPr>
        <w:jc w:val="both"/>
      </w:pPr>
      <w:r>
        <w:rPr/>
        <w:t xml:space="preserve"/>
      </w:r>
    </w:p>
    <w:p>
      <w:pPr>
        <w:jc w:val="both"/>
      </w:pPr>
      <w:r>
        <w:rPr/>
        <w:t xml:space="preserve">4. 缺失的考虑点：文章没有讨论其他可能影响99mTc-mebrofenin和ICG摄取机制的因素，如药物相互作用、遗传变异等。这些因素可能对肝功能评估结果产生重要影响，但未被纳入讨论。</w:t>
      </w:r>
    </w:p>
    <w:p>
      <w:pPr>
        <w:jc w:val="both"/>
      </w:pPr>
      <w:r>
        <w:rPr/>
        <w:t xml:space="preserve"/>
      </w:r>
    </w:p>
    <w:p>
      <w:pPr>
        <w:jc w:val="both"/>
      </w:pPr>
      <w:r>
        <w:rPr/>
        <w:t xml:space="preserve">5. 所提出主张的缺失证据：尽管文章声称OATP1B1和OATP1B3参与99mTc-mebrofenin的转运，但并没有提供充分的证据来支持这一主张。缺乏实验证据使得读者难以确定这个结论是否可靠。</w:t>
      </w:r>
    </w:p>
    <w:p>
      <w:pPr>
        <w:jc w:val="both"/>
      </w:pPr>
      <w:r>
        <w:rPr/>
        <w:t xml:space="preserve"/>
      </w:r>
    </w:p>
    <w:p>
      <w:pPr>
        <w:jc w:val="both"/>
      </w:pPr>
      <w:r>
        <w:rPr/>
        <w:t xml:space="preserve">6. 未探索的反驳：文章没有探讨可能与其结果相矛盾的其他研究或观点。这种未探索反驳的做法可能导致读者对该领域中存在争议或不一致结果的认识不足。</w:t>
      </w:r>
    </w:p>
    <w:p>
      <w:pPr>
        <w:jc w:val="both"/>
      </w:pPr>
      <w:r>
        <w:rPr/>
        <w:t xml:space="preserve"/>
      </w:r>
    </w:p>
    <w:p>
      <w:pPr>
        <w:jc w:val="both"/>
      </w:pPr>
      <w:r>
        <w:rPr/>
        <w:t xml:space="preserve">7. 宣传内容：文章似乎更关注99mTc-mebrofenin和ICG在肝脏摄取方面的相似性，而忽视了其他可能影响肝功能评估的因素。这种宣传内容可能会误导读者对这两种测试方法的理解。</w:t>
      </w:r>
    </w:p>
    <w:p>
      <w:pPr>
        <w:jc w:val="both"/>
      </w:pPr>
      <w:r>
        <w:rPr/>
        <w:t xml:space="preserve"/>
      </w:r>
    </w:p>
    <w:p>
      <w:pPr>
        <w:jc w:val="both"/>
      </w:pPr>
      <w:r>
        <w:rPr/>
        <w:t xml:space="preserve">总体而言，这篇文章存在一些潜在问题，包括偏见、片面报道、无根据的主张和缺失考虑点。读者应该保持批判思维，并寻找更多相关研究来全面了解99mTc-mebrofenin和ICG在肝功能评估中的作用。</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其他可能影响肝功能评估的因素
</w:t>
      </w:r>
    </w:p>
    <w:p>
      <w:pPr>
        <w:spacing w:after="0"/>
        <w:numPr>
          <w:ilvl w:val="0"/>
          <w:numId w:val="2"/>
        </w:numPr>
      </w:pPr>
      <w:r>
        <w:rPr/>
        <w:t xml:space="preserve">ICG和99mTc-mebrofenin的转运机制证据
</w:t>
      </w:r>
    </w:p>
    <w:p>
      <w:pPr>
        <w:spacing w:after="0"/>
        <w:numPr>
          <w:ilvl w:val="0"/>
          <w:numId w:val="2"/>
        </w:numPr>
      </w:pPr>
      <w:r>
        <w:rPr/>
        <w:t xml:space="preserve">药物相互作用和遗传变异的影响
</w:t>
      </w:r>
    </w:p>
    <w:p>
      <w:pPr>
        <w:spacing w:after="0"/>
        <w:numPr>
          <w:ilvl w:val="0"/>
          <w:numId w:val="2"/>
        </w:numPr>
      </w:pPr>
      <w:r>
        <w:rPr/>
        <w:t xml:space="preserve">OATP1B1和OATP1B3在99mTc-mebrofenin转运中的证据
</w:t>
      </w:r>
    </w:p>
    <w:p>
      <w:pPr>
        <w:numPr>
          <w:ilvl w:val="0"/>
          <w:numId w:val="2"/>
        </w:numPr>
      </w:pPr>
      <w:r>
        <w:rPr/>
        <w:t xml:space="preserve">与该研究结果相矛盾的其他研究或观点</w:t>
      </w:r>
    </w:p>
    <w:p>
      <w:pPr>
        <w:pStyle w:val="Heading1"/>
      </w:pPr>
      <w:bookmarkStart w:id="6" w:name="_Toc6"/>
      <w:r>
        <w:t>Report location:</w:t>
      </w:r>
      <w:bookmarkEnd w:id="6"/>
    </w:p>
    <w:p>
      <w:hyperlink r:id="rId8" w:history="1">
        <w:r>
          <w:rPr>
            <w:color w:val="2980b9"/>
            <w:u w:val="single"/>
          </w:rPr>
          <w:t xml:space="preserve">https://www.fullpicture.app/item/bf74d3a3839e7855733330e3b3cde4a9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0F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27810008408" TargetMode="External"/><Relationship Id="rId8" Type="http://schemas.openxmlformats.org/officeDocument/2006/relationships/hyperlink" Target="https://www.fullpicture.app/item/bf74d3a3839e7855733330e3b3cde4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2023-10-05T12:20:55+02:00</dcterms:created>
  <dcterms:modified xsi:type="dcterms:W3CDTF">2023-10-05T12:20:55+02:00</dcterms:modified>
</cp:coreProperties>
</file>

<file path=docProps/custom.xml><?xml version="1.0" encoding="utf-8"?>
<Properties xmlns="http://schemas.openxmlformats.org/officeDocument/2006/custom-properties" xmlns:vt="http://schemas.openxmlformats.org/officeDocument/2006/docPropsVTypes"/>
</file>