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https://journals.sagepub.com.remotexs.ntu.edu.sg/doi/pdf/10.1177/1367006915572399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Zotero automatically redirects requests to journals.sagepub.com through the proxy at libproxy.nie.edu.sg.</w:t>
      </w:r>
    </w:p>
    <w:p>
      <w:pPr>
        <w:jc w:val="both"/>
      </w:pPr>
      <w:r>
        <w:rPr/>
        <w:t xml:space="preserve">2. The option to not proxy this site is available.</w:t>
      </w:r>
    </w:p>
    <w:p>
      <w:pPr>
        <w:jc w:val="both"/>
      </w:pPr>
      <w:r>
        <w:rPr/>
        <w:t xml:space="preserve">3. Proxy settings can be adjusted as needed.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很遗憾，上述内容并不是一篇完整的文章，而只是一个短语或句子。因此，无法对其进行详细的批判性分析。请提供完整的文章内容以便进行分析和评论。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https://www.fullpicture.app/item/be5549b9046e0620dbb7715cf0b5f5b9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3FD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.remotexs.ntu.edu.sg/doi/pdf/10.1177/1367006915572399" TargetMode="External"/><Relationship Id="rId8" Type="http://schemas.openxmlformats.org/officeDocument/2006/relationships/hyperlink" Target="https://www.fullpicture.app/item/be5549b9046e0620dbb7715cf0b5f5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2024-01-13T00:14:20+01:00</dcterms:created>
  <dcterms:modified xsi:type="dcterms:W3CDTF">2024-01-13T00:14:20+01:00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