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reference single-cell transcriptomic atlas of human skeletal muscle tissue reveals bifurcated muscle stem cell populations | Skeletal Muscle | Full Text</w:t>
      </w:r>
      <w:br/>
      <w:hyperlink r:id="rId7" w:history="1">
        <w:r>
          <w:rPr>
            <w:color w:val="2980b9"/>
            <w:u w:val="single"/>
          </w:rPr>
          <w:t xml:space="preserve">https://skeletalmusclejournal.biomedcentral.com/articles/10.1186/s13395-020-00236-3</w:t>
        </w:r>
      </w:hyperlink>
    </w:p>
    <w:p>
      <w:pPr>
        <w:pStyle w:val="Heading1"/>
      </w:pPr>
      <w:bookmarkStart w:id="2" w:name="_Toc2"/>
      <w:r>
        <w:t>Article summary:</w:t>
      </w:r>
      <w:bookmarkEnd w:id="2"/>
    </w:p>
    <w:p>
      <w:pPr>
        <w:jc w:val="both"/>
      </w:pPr>
      <w:r>
        <w:rPr/>
        <w:t xml:space="preserve">1. 本文介绍了一个人类骨骼肌组织的单细胞转录组图谱，揭示了肌肉干细胞群体的分叉现象。</w:t>
      </w:r>
    </w:p>
    <w:p>
      <w:pPr>
        <w:jc w:val="both"/>
      </w:pPr>
      <w:r>
        <w:rPr/>
        <w:t xml:space="preserve">2. 研究发现，激活的肌肉干细胞表达与衰老、肥胖、糖尿病和受损肌肉再生有关的基因，并发现以前未描述过的长链非编码RNA。</w:t>
      </w:r>
    </w:p>
    <w:p>
      <w:pPr>
        <w:jc w:val="both"/>
      </w:pPr>
      <w:r>
        <w:rPr/>
        <w:t xml:space="preserve">3. 研究还模拟了配体-受体细胞间通讯相互作用，并观察到激活的肌肉干细胞中TWEAK-FN14通路富集，这是一种与肌肉消耗性疾病特征相关的标志。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作为一篇科学研究论文，该文章并没有明显的偏见或宣传内容。然而，我们可以对其进行一些批判性分析。</w:t>
      </w:r>
    </w:p>
    <w:p>
      <w:pPr>
        <w:jc w:val="both"/>
      </w:pPr>
      <w:r>
        <w:rPr/>
        <w:t xml:space="preserve"/>
      </w:r>
    </w:p>
    <w:p>
      <w:pPr>
        <w:jc w:val="both"/>
      </w:pPr>
      <w:r>
        <w:rPr/>
        <w:t xml:space="preserve">首先，该文章提供了一个单细胞转录组图谱的数据集，涵盖了10个成年人不同部位的肌肉样本。这是一个非常有价值的资源，可以帮助我们更好地理解人类肌肉组织的异质性和干细胞多样性。然而，该数据集仅限于10个样本，并不能代表整个人类种群。因此，在使用这些数据时需要注意其局限性。</w:t>
      </w:r>
    </w:p>
    <w:p>
      <w:pPr>
        <w:jc w:val="both"/>
      </w:pPr>
      <w:r>
        <w:rPr/>
        <w:t xml:space="preserve"/>
      </w:r>
    </w:p>
    <w:p>
      <w:pPr>
        <w:jc w:val="both"/>
      </w:pPr>
      <w:r>
        <w:rPr/>
        <w:t xml:space="preserve">其次，该文章发现了肌肉干细胞（MuSCs）分化为“静止”和“早期激活”两个亚群。这是一个重要的发现，有助于我们更好地理解MuSCs在健康和疾病状态下的功能和调控机制。然而，在文章中并没有详细讨论这两个亚群之间的差异以及它们在不同生理和病理条件下的作用。因此，在进一步研究中需要更深入地探索这些问题。</w:t>
      </w:r>
    </w:p>
    <w:p>
      <w:pPr>
        <w:jc w:val="both"/>
      </w:pPr>
      <w:r>
        <w:rPr/>
        <w:t xml:space="preserve"/>
      </w:r>
    </w:p>
    <w:p>
      <w:pPr>
        <w:jc w:val="both"/>
      </w:pPr>
      <w:r>
        <w:rPr/>
        <w:t xml:space="preserve">此外，该文章还模拟了配体-受体细胞间通信相互作用，并观察到激活的MuSCs富含TWEAK-FN14通路，这是一种与肌肉消耗性疾病相关的特征标志。然而，在文章中并没有讨论如何利用这些发现来开发新型治疗策略或诊断方法。因此，在未来的研究中需要进一步探索这些问题。</w:t>
      </w:r>
    </w:p>
    <w:p>
      <w:pPr>
        <w:jc w:val="both"/>
      </w:pPr>
      <w:r>
        <w:rPr/>
        <w:t xml:space="preserve"/>
      </w:r>
    </w:p>
    <w:p>
      <w:pPr>
        <w:jc w:val="both"/>
      </w:pPr>
      <w:r>
        <w:rPr/>
        <w:t xml:space="preserve">最后，虽然该文章并没有明显偏袒任何一方或宣传内容，但由于其局限性和未能全面考虑所有可能影响结果的因素（例如年龄、性别、健康状态等），在使用其结果时需要谨慎，并结合其他证据进行分析和解释。</w:t>
      </w:r>
    </w:p>
    <w:p>
      <w:pPr>
        <w:pStyle w:val="Heading1"/>
      </w:pPr>
      <w:bookmarkStart w:id="5" w:name="_Toc5"/>
      <w:r>
        <w:t>Topics for further research:</w:t>
      </w:r>
      <w:bookmarkEnd w:id="5"/>
    </w:p>
    <w:p>
      <w:pPr>
        <w:spacing w:after="0"/>
        <w:numPr>
          <w:ilvl w:val="0"/>
          <w:numId w:val="2"/>
        </w:numPr>
      </w:pPr>
      <w:r>
        <w:rPr/>
        <w:t xml:space="preserve">Limitations of the dataset
</w:t>
      </w:r>
    </w:p>
    <w:p>
      <w:pPr>
        <w:spacing w:after="0"/>
        <w:numPr>
          <w:ilvl w:val="0"/>
          <w:numId w:val="2"/>
        </w:numPr>
      </w:pPr>
      <w:r>
        <w:rPr/>
        <w:t xml:space="preserve">Differences between the quiescent and early activated MuSC subpopulations
</w:t>
      </w:r>
    </w:p>
    <w:p>
      <w:pPr>
        <w:spacing w:after="0"/>
        <w:numPr>
          <w:ilvl w:val="0"/>
          <w:numId w:val="2"/>
        </w:numPr>
      </w:pPr>
      <w:r>
        <w:rPr/>
        <w:t xml:space="preserve">Role of MuSC subpopulations in different physiological and pathological conditions
</w:t>
      </w:r>
    </w:p>
    <w:p>
      <w:pPr>
        <w:spacing w:after="0"/>
        <w:numPr>
          <w:ilvl w:val="0"/>
          <w:numId w:val="2"/>
        </w:numPr>
      </w:pPr>
      <w:r>
        <w:rPr/>
        <w:t xml:space="preserve">Development of new therapeutic strategies or diagnostic methods based on the findings
</w:t>
      </w:r>
    </w:p>
    <w:p>
      <w:pPr>
        <w:spacing w:after="0"/>
        <w:numPr>
          <w:ilvl w:val="0"/>
          <w:numId w:val="2"/>
        </w:numPr>
      </w:pPr>
      <w:r>
        <w:rPr/>
        <w:t xml:space="preserve">Factors that may affect the results</w:t>
      </w:r>
    </w:p>
    <w:p>
      <w:pPr>
        <w:spacing w:after="0"/>
        <w:numPr>
          <w:ilvl w:val="0"/>
          <w:numId w:val="2"/>
        </w:numPr>
      </w:pPr>
      <w:r>
        <w:rPr/>
        <w:t xml:space="preserve">such as age</w:t>
      </w:r>
    </w:p>
    <w:p>
      <w:pPr>
        <w:spacing w:after="0"/>
        <w:numPr>
          <w:ilvl w:val="0"/>
          <w:numId w:val="2"/>
        </w:numPr>
      </w:pPr>
      <w:r>
        <w:rPr/>
        <w:t xml:space="preserve">gender</w:t>
      </w:r>
    </w:p>
    <w:p>
      <w:pPr>
        <w:spacing w:after="0"/>
        <w:numPr>
          <w:ilvl w:val="0"/>
          <w:numId w:val="2"/>
        </w:numPr>
      </w:pPr>
      <w:r>
        <w:rPr/>
        <w:t xml:space="preserve">and health status
</w:t>
      </w:r>
    </w:p>
    <w:p>
      <w:pPr>
        <w:numPr>
          <w:ilvl w:val="0"/>
          <w:numId w:val="2"/>
        </w:numPr>
      </w:pPr>
      <w:r>
        <w:rPr/>
        <w:t xml:space="preserve">Need for caution and integration with other evidence when using the results</w:t>
      </w:r>
    </w:p>
    <w:p>
      <w:pPr>
        <w:pStyle w:val="Heading1"/>
      </w:pPr>
      <w:bookmarkStart w:id="6" w:name="_Toc6"/>
      <w:r>
        <w:t>Report location:</w:t>
      </w:r>
      <w:bookmarkEnd w:id="6"/>
    </w:p>
    <w:p>
      <w:hyperlink r:id="rId8" w:history="1">
        <w:r>
          <w:rPr>
            <w:color w:val="2980b9"/>
            <w:u w:val="single"/>
          </w:rPr>
          <w:t xml:space="preserve">https://www.fullpicture.app/item/bb5af3c16271859dc6957ee419886b1c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640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eletalmusclejournal.biomedcentral.com/articles/10.1186/s13395-020-00236-3" TargetMode="External"/><Relationship Id="rId8" Type="http://schemas.openxmlformats.org/officeDocument/2006/relationships/hyperlink" Target="https://www.fullpicture.app/item/bb5af3c16271859dc6957ee419886b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2024-02-13T23:45:53+01:00</dcterms:created>
  <dcterms:modified xsi:type="dcterms:W3CDTF">2024-02-13T23:45:53+01:00</dcterms:modified>
</cp:coreProperties>
</file>

<file path=docProps/custom.xml><?xml version="1.0" encoding="utf-8"?>
<Properties xmlns="http://schemas.openxmlformats.org/officeDocument/2006/custom-properties" xmlns:vt="http://schemas.openxmlformats.org/officeDocument/2006/docPropsVTypes"/>
</file>