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 Cannot Intentionally Render Moot a Plaintiff's Lawsuit - ProveMyFloridaCase.com</w:t>
      </w:r>
      <w:br/>
      <w:hyperlink r:id="rId7" w:history="1">
        <w:r>
          <w:rPr>
            <w:color w:val="2980b9"/>
            <w:u w:val="single"/>
          </w:rPr>
          <w:t xml:space="preserve">https://provemyfloridacase.com/you-cannot-intentionally-render-moot-a-plaintiffs-lawsuit/</w:t>
        </w:r>
      </w:hyperlink>
    </w:p>
    <w:p>
      <w:pPr>
        <w:pStyle w:val="Heading1"/>
      </w:pPr>
      <w:bookmarkStart w:id="2" w:name="_Toc2"/>
      <w:r>
        <w:t>Article summary:</w:t>
      </w:r>
      <w:bookmarkEnd w:id="2"/>
    </w:p>
    <w:p>
      <w:pPr>
        <w:jc w:val="both"/>
      </w:pPr>
      <w:r>
        <w:rPr/>
        <w:t xml:space="preserve">1. A defendant cannot intentionally render a plaintiff's lawsuit moot in its favor.</w:t>
      </w:r>
    </w:p>
    <w:p>
      <w:pPr>
        <w:jc w:val="both"/>
      </w:pPr>
      <w:r>
        <w:rPr/>
        <w:t xml:space="preserve">2. In the case of The Collins Condominium Association, Inc. v. Riveiro, the association installed alarm devices on the unit owner's sliding glass doors, rendering his lawsuit moot.</w:t>
      </w:r>
    </w:p>
    <w:p>
      <w:pPr>
        <w:jc w:val="both"/>
      </w:pPr>
      <w:r>
        <w:rPr/>
        <w:t xml:space="preserve">3. Despite voluntarily dismissing his case, the owner was still deemed the prevailing party for purposes of attorney's fees because the association's actions effectively mooted the case.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"You Cannot Intentionally Render Moot a Plaintiff's Lawsuit" discusses a recent case in Florida where a defendant's actions rendered the plaintiff's lawsuit moot. While the article provides some information about the case, it lacks critical analysis and fails to explore potential biases or consider counterarguments.</w:t>
      </w:r>
    </w:p>
    <w:p>
      <w:pPr>
        <w:jc w:val="both"/>
      </w:pPr>
      <w:r>
        <w:rPr/>
        <w:t xml:space="preserve"/>
      </w:r>
    </w:p>
    <w:p>
      <w:pPr>
        <w:jc w:val="both"/>
      </w:pPr>
      <w:r>
        <w:rPr/>
        <w:t xml:space="preserve">One potential bias in the article is its focus on the plaintiff's perspective. The author emphasizes that the defendant's actions rendered the lawsuit moot and argues that this should not entitle the defendant to be deemed the prevailing party for attorney's fees. However, there is no discussion of why the defendant took those actions or whether they were justified. This one-sided reporting presents only the plaintiff's viewpoint and does not provide a balanced analysis of the situation.</w:t>
      </w:r>
    </w:p>
    <w:p>
      <w:pPr>
        <w:jc w:val="both"/>
      </w:pPr>
      <w:r>
        <w:rPr/>
        <w:t xml:space="preserve"/>
      </w:r>
    </w:p>
    <w:p>
      <w:pPr>
        <w:jc w:val="both"/>
      </w:pPr>
      <w:r>
        <w:rPr/>
        <w:t xml:space="preserve">Additionally, the article makes unsupported claims without providing evidence or further explanation. For example, it states that "Florida employs the significant issues test in many contexts to determine the prevailing party for purposes of attorney’s fees." However, no further information is provided about what this test entails or how it is applied. Without supporting evidence or additional context, these claims lack credibility.</w:t>
      </w:r>
    </w:p>
    <w:p>
      <w:pPr>
        <w:jc w:val="both"/>
      </w:pPr>
      <w:r>
        <w:rPr/>
        <w:t xml:space="preserve"/>
      </w:r>
    </w:p>
    <w:p>
      <w:pPr>
        <w:jc w:val="both"/>
      </w:pPr>
      <w:r>
        <w:rPr/>
        <w:t xml:space="preserve">The article also fails to explore potential counterarguments or alternative perspectives. It assumes that rendering a plaintiff's lawsuit moot should not entitle a defendant to be deemed the prevailing party, without considering other factors that may be relevant. For example, if a defendant takes actions to address an issue raised in a lawsuit before it goes to trial, it could be argued that they have effectively resolved the dispute and should be considered the prevailing party.</w:t>
      </w:r>
    </w:p>
    <w:p>
      <w:pPr>
        <w:jc w:val="both"/>
      </w:pPr>
      <w:r>
        <w:rPr/>
        <w:t xml:space="preserve"/>
      </w:r>
    </w:p>
    <w:p>
      <w:pPr>
        <w:jc w:val="both"/>
      </w:pPr>
      <w:r>
        <w:rPr/>
        <w:t xml:space="preserve">Furthermore, there are missing points of consideration in the article. It does not discuss whether there are any legal precedents or statutes that address this issue in Florida law. It also does not consider whether there are any potential risks or negative consequences associated with allowing defendants to render lawsuits moot through their actions.</w:t>
      </w:r>
    </w:p>
    <w:p>
      <w:pPr>
        <w:jc w:val="both"/>
      </w:pPr>
      <w:r>
        <w:rPr/>
        <w:t xml:space="preserve"/>
      </w:r>
    </w:p>
    <w:p>
      <w:pPr>
        <w:jc w:val="both"/>
      </w:pPr>
      <w:r>
        <w:rPr/>
        <w:t xml:space="preserve">Overall, this article lacks critical analysis and presents a one-sided perspective on the issue at hand. It fails to explore potential biases, provide evidence for its claims, consider counterarguments, or present a balanced view of the situation. As a result, readers are not provided with a comprehensive understanding of the topic and may be misled by the article's limited viewpoint.</w:t>
      </w:r>
    </w:p>
    <w:p>
      <w:pPr>
        <w:pStyle w:val="Heading1"/>
      </w:pPr>
      <w:bookmarkStart w:id="5" w:name="_Toc5"/>
      <w:r>
        <w:t>Topics for further research:</w:t>
      </w:r>
      <w:bookmarkEnd w:id="5"/>
    </w:p>
    <w:p>
      <w:pPr>
        <w:spacing w:after="0"/>
        <w:numPr>
          <w:ilvl w:val="0"/>
          <w:numId w:val="2"/>
        </w:numPr>
      </w:pPr>
      <w:r>
        <w:rPr/>
        <w:t xml:space="preserve">Legal precedents on rendering a lawsuit moot in Florida law
</w:t>
      </w:r>
    </w:p>
    <w:p>
      <w:pPr>
        <w:spacing w:after="0"/>
        <w:numPr>
          <w:ilvl w:val="0"/>
          <w:numId w:val="2"/>
        </w:numPr>
      </w:pPr>
      <w:r>
        <w:rPr/>
        <w:t xml:space="preserve">Factors considered in determining the prevailing party for attorney's fees in Florida
</w:t>
      </w:r>
    </w:p>
    <w:p>
      <w:pPr>
        <w:spacing w:after="0"/>
        <w:numPr>
          <w:ilvl w:val="0"/>
          <w:numId w:val="2"/>
        </w:numPr>
      </w:pPr>
      <w:r>
        <w:rPr/>
        <w:t xml:space="preserve">Justification for a defendant's actions rendering a lawsuit moot
</w:t>
      </w:r>
    </w:p>
    <w:p>
      <w:pPr>
        <w:spacing w:after="0"/>
        <w:numPr>
          <w:ilvl w:val="0"/>
          <w:numId w:val="2"/>
        </w:numPr>
      </w:pPr>
      <w:r>
        <w:rPr/>
        <w:t xml:space="preserve">Risks and consequences of allowing defendants to render lawsuits moot
</w:t>
      </w:r>
    </w:p>
    <w:p>
      <w:pPr>
        <w:spacing w:after="0"/>
        <w:numPr>
          <w:ilvl w:val="0"/>
          <w:numId w:val="2"/>
        </w:numPr>
      </w:pPr>
      <w:r>
        <w:rPr/>
        <w:t xml:space="preserve">Critiques of the significant issues test used in Florida to determine the prevailing party
</w:t>
      </w:r>
    </w:p>
    <w:p>
      <w:pPr>
        <w:numPr>
          <w:ilvl w:val="0"/>
          <w:numId w:val="2"/>
        </w:numPr>
      </w:pPr>
      <w:r>
        <w:rPr/>
        <w:t xml:space="preserve">Balancing the rights of plaintiffs and defendants in rendering lawsuits moot.</w:t>
      </w:r>
    </w:p>
    <w:p>
      <w:pPr>
        <w:pStyle w:val="Heading1"/>
      </w:pPr>
      <w:bookmarkStart w:id="6" w:name="_Toc6"/>
      <w:r>
        <w:t>Report location:</w:t>
      </w:r>
      <w:bookmarkEnd w:id="6"/>
    </w:p>
    <w:p>
      <w:hyperlink r:id="rId8" w:history="1">
        <w:r>
          <w:rPr>
            <w:color w:val="2980b9"/>
            <w:u w:val="single"/>
          </w:rPr>
          <w:t xml:space="preserve">https://www.fullpicture.app/item/b8abbf9d6403130fc6a8b13bc6da7444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9565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vemyfloridacase.com/you-cannot-intentionally-render-moot-a-plaintiffs-lawsuit/" TargetMode="External"/><Relationship Id="rId8" Type="http://schemas.openxmlformats.org/officeDocument/2006/relationships/hyperlink" Target="https://www.fullpicture.app/item/b8abbf9d6403130fc6a8b13bc6da74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2024-01-11T08:33:30+01:00</dcterms:created>
  <dcterms:modified xsi:type="dcterms:W3CDTF">2024-01-11T08:33:30+01:00</dcterms:modified>
</cp:coreProperties>
</file>

<file path=docProps/custom.xml><?xml version="1.0" encoding="utf-8"?>
<Properties xmlns="http://schemas.openxmlformats.org/officeDocument/2006/custom-properties" xmlns:vt="http://schemas.openxmlformats.org/officeDocument/2006/docPropsVTypes"/>
</file>