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environmental literacy on ecological networks in the Three Gorges Reservoir, China - ScienceDirect</w:t>
      </w:r>
      <w:br/>
      <w:hyperlink r:id="rId7" w:history="1">
        <w:r>
          <w:rPr>
            <w:color w:val="2980b9"/>
            <w:u w:val="single"/>
          </w:rPr>
          <w:t xml:space="preserve">https://www.sciencedirect.com/science/article/pii/S1470160X22010445</w:t>
        </w:r>
      </w:hyperlink>
    </w:p>
    <w:p>
      <w:pPr>
        <w:pStyle w:val="Heading1"/>
      </w:pPr>
      <w:bookmarkStart w:id="2" w:name="_Toc2"/>
      <w:r>
        <w:t>Article summary:</w:t>
      </w:r>
      <w:bookmarkEnd w:id="2"/>
    </w:p>
    <w:p>
      <w:pPr>
        <w:jc w:val="both"/>
      </w:pPr>
      <w:r>
        <w:rPr/>
        <w:t xml:space="preserve">1. Environmental illiteracy can threaten the functioning mechanisms of ecological networks worldwide.</w:t>
      </w:r>
    </w:p>
    <w:p>
      <w:pPr>
        <w:jc w:val="both"/>
      </w:pPr>
      <w:r>
        <w:rPr/>
        <w:t xml:space="preserve">2. The study assessed ecological network indicators (ENIs) in the Three Gorges Reservoir area (TGRA) and found that environmental literacy metrics (ELMs) influenced ENIs such as plant cover, habitat, exotics, regeneration, erosion, and stressors throughout the drawdown zone.</w:t>
      </w:r>
    </w:p>
    <w:p>
      <w:pPr>
        <w:jc w:val="both"/>
      </w:pPr>
      <w:r>
        <w:rPr/>
        <w:t xml:space="preserve">3. The ELMs of local people influenced the ENIs most within the downstream, while the ELMs of government personnel showed the greatest correlations with ENIs in the midstream.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"Impacts of environmental literacy on ecological networks in the Three Gorges Reservoir, China" provides an analysis of the relationship between environmental literacy and ecological network indicators (ENIs) in the Three Gorges Reservoir area (TGRA) in China. The study uses multivariate statistical methods to assess ENIs on a covered area of 58,000 km2 in 327 transects through a field-based approach. The article highlights six ecological network research focuses across riparian zones and identifies that residents affect the ecological networks more than workers in the riparian zone.</w:t>
      </w:r>
    </w:p>
    <w:p>
      <w:pPr>
        <w:jc w:val="both"/>
      </w:pPr>
      <w:r>
        <w:rPr/>
        <w:t xml:space="preserve"/>
      </w:r>
    </w:p>
    <w:p>
      <w:pPr>
        <w:jc w:val="both"/>
      </w:pPr>
      <w:r>
        <w:rPr/>
        <w:t xml:space="preserve">The article's strengths lie in its comprehensive analysis of ENIs and ELMs (knowledge, attitude, and behavior) across different sections of the drawdown zone. The study's findings provide valuable insights into how public environmental illiteracy impacts ecological networks within dams and reservoirs. However, there are several potential biases and limitations to consider.</w:t>
      </w:r>
    </w:p>
    <w:p>
      <w:pPr>
        <w:jc w:val="both"/>
      </w:pPr>
      <w:r>
        <w:rPr/>
        <w:t xml:space="preserve"/>
      </w:r>
    </w:p>
    <w:p>
      <w:pPr>
        <w:jc w:val="both"/>
      </w:pPr>
      <w:r>
        <w:rPr/>
        <w:t xml:space="preserve">One limitation is that the study only focuses on one specific region, which may not be representative of other regions globally. Additionally, while the study identifies important ENIs within TGRA, it does not explore potential counterarguments or alternative perspectives that may challenge these findings.</w:t>
      </w:r>
    </w:p>
    <w:p>
      <w:pPr>
        <w:jc w:val="both"/>
      </w:pPr>
      <w:r>
        <w:rPr/>
        <w:t xml:space="preserve"/>
      </w:r>
    </w:p>
    <w:p>
      <w:pPr>
        <w:jc w:val="both"/>
      </w:pPr>
      <w:r>
        <w:rPr/>
        <w:t xml:space="preserve">Another limitation is that the article does not provide a detailed explanation of how ELMs were measured or defined. This lack of clarity makes it difficult to assess whether these metrics accurately capture individuals' knowledge, attitudes, and behaviors towards environmental issues.</w:t>
      </w:r>
    </w:p>
    <w:p>
      <w:pPr>
        <w:jc w:val="both"/>
      </w:pPr>
      <w:r>
        <w:rPr/>
        <w:t xml:space="preserve"/>
      </w:r>
    </w:p>
    <w:p>
      <w:pPr>
        <w:jc w:val="both"/>
      </w:pPr>
      <w:r>
        <w:rPr/>
        <w:t xml:space="preserve">Furthermore, while the article acknowledges that human factors should be taken into consideration when shaping ecological networks, it does not explore potential conflicts over authority or control that may arise when implementing such plans. This omission limits our understanding of how valuation interacts with ecological networks and conflicts on the ground.</w:t>
      </w:r>
    </w:p>
    <w:p>
      <w:pPr>
        <w:jc w:val="both"/>
      </w:pPr>
      <w:r>
        <w:rPr/>
        <w:t xml:space="preserve"/>
      </w:r>
    </w:p>
    <w:p>
      <w:pPr>
        <w:jc w:val="both"/>
      </w:pPr>
      <w:r>
        <w:rPr/>
        <w:t xml:space="preserve">Finally, while the article notes that giving additional information can promote proper conduct towards environmental preservation, it does not address potential risks associated with this approach. For example, providing incomplete or inaccurate information could lead to misguided actions or further exacerbate environmental issues.</w:t>
      </w:r>
    </w:p>
    <w:p>
      <w:pPr>
        <w:jc w:val="both"/>
      </w:pPr>
      <w:r>
        <w:rPr/>
        <w:t xml:space="preserve"/>
      </w:r>
    </w:p>
    <w:p>
      <w:pPr>
        <w:jc w:val="both"/>
      </w:pPr>
      <w:r>
        <w:rPr/>
        <w:t xml:space="preserve">In conclusion, while the article provides valuable insights into the relationship between environmental literacy and ecological networks in TGRA, it is important to consider potential biases and limitations when interpreting its findings. Future research should aim to address these limitations and explore alternative perspectives to provide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Conflicts over authority and control in ecological network planning
</w:t>
      </w:r>
    </w:p>
    <w:p>
      <w:pPr>
        <w:spacing w:after="0"/>
        <w:numPr>
          <w:ilvl w:val="0"/>
          <w:numId w:val="2"/>
        </w:numPr>
      </w:pPr>
      <w:r>
        <w:rPr/>
        <w:t xml:space="preserve">Alternative perspectives on the relationship between environmental literacy and ecological networks
</w:t>
      </w:r>
    </w:p>
    <w:p>
      <w:pPr>
        <w:spacing w:after="0"/>
        <w:numPr>
          <w:ilvl w:val="0"/>
          <w:numId w:val="2"/>
        </w:numPr>
      </w:pPr>
      <w:r>
        <w:rPr/>
        <w:t xml:space="preserve">Risks associated with providing incomplete or inaccurate environmental information
</w:t>
      </w:r>
    </w:p>
    <w:p>
      <w:pPr>
        <w:spacing w:after="0"/>
        <w:numPr>
          <w:ilvl w:val="0"/>
          <w:numId w:val="2"/>
        </w:numPr>
      </w:pPr>
      <w:r>
        <w:rPr/>
        <w:t xml:space="preserve">Comparative analysis of ecological networks in other dam and reservoir regions
</w:t>
      </w:r>
    </w:p>
    <w:p>
      <w:pPr>
        <w:spacing w:after="0"/>
        <w:numPr>
          <w:ilvl w:val="0"/>
          <w:numId w:val="2"/>
        </w:numPr>
      </w:pPr>
      <w:r>
        <w:rPr/>
        <w:t xml:space="preserve">Methods for measuring and defining environmental knowledge</w:t>
      </w:r>
    </w:p>
    <w:p>
      <w:pPr>
        <w:spacing w:after="0"/>
        <w:numPr>
          <w:ilvl w:val="0"/>
          <w:numId w:val="2"/>
        </w:numPr>
      </w:pPr>
      <w:r>
        <w:rPr/>
        <w:t xml:space="preserve">attitudes</w:t>
      </w:r>
    </w:p>
    <w:p>
      <w:pPr>
        <w:spacing w:after="0"/>
        <w:numPr>
          <w:ilvl w:val="0"/>
          <w:numId w:val="2"/>
        </w:numPr>
      </w:pPr>
      <w:r>
        <w:rPr/>
        <w:t xml:space="preserve">and behaviors
</w:t>
      </w:r>
    </w:p>
    <w:p>
      <w:pPr>
        <w:numPr>
          <w:ilvl w:val="0"/>
          <w:numId w:val="2"/>
        </w:numPr>
      </w:pPr>
      <w:r>
        <w:rPr/>
        <w:t xml:space="preserve">Impacts of environmental illiteracy on other aspects of ecosystem health and function.</w:t>
      </w:r>
    </w:p>
    <w:p>
      <w:pPr>
        <w:pStyle w:val="Heading1"/>
      </w:pPr>
      <w:bookmarkStart w:id="6" w:name="_Toc6"/>
      <w:r>
        <w:t>Report location:</w:t>
      </w:r>
      <w:bookmarkEnd w:id="6"/>
    </w:p>
    <w:p>
      <w:hyperlink r:id="rId8" w:history="1">
        <w:r>
          <w:rPr>
            <w:color w:val="2980b9"/>
            <w:u w:val="single"/>
          </w:rPr>
          <w:t xml:space="preserve">https://www.fullpicture.app/item/b7b49c7c02eb30393c43129407a42cbf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C11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0160X22010445" TargetMode="External"/><Relationship Id="rId8" Type="http://schemas.openxmlformats.org/officeDocument/2006/relationships/hyperlink" Target="https://www.fullpicture.app/item/b7b49c7c02eb30393c43129407a42c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2024-01-12T18:54:45+01:00</dcterms:created>
  <dcterms:modified xsi:type="dcterms:W3CDTF">2024-01-12T18:54:45+01:00</dcterms:modified>
</cp:coreProperties>
</file>

<file path=docProps/custom.xml><?xml version="1.0" encoding="utf-8"?>
<Properties xmlns="http://schemas.openxmlformats.org/officeDocument/2006/custom-properties" xmlns:vt="http://schemas.openxmlformats.org/officeDocument/2006/docPropsVTypes"/>
</file>