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PlantPAx 5.0 getting started</w:t>
      </w:r>
      <w:br/>
      <w:hyperlink r:id="rId7" w:history="1">
        <w:r>
          <w:rPr>
            <w:color w:val="2980b9"/>
            <w:u w:val="single"/>
          </w:rPr>
          <w:t xml:space="preserve">https://rockwellautomation.custhelp.com/app/answers/answer_view/a_id/1133343</w:t>
        </w:r>
      </w:hyperlink>
    </w:p>
    <w:p>
      <w:pPr>
        <w:pStyle w:val="Heading1"/>
      </w:pPr>
      <w:bookmarkStart w:id="2" w:name="_Toc2"/>
      <w:r>
        <w:t>Article summary:</w:t>
      </w:r>
      <w:bookmarkEnd w:id="2"/>
    </w:p>
    <w:p>
      <w:pPr>
        <w:jc w:val="both"/>
      </w:pPr>
      <w:r>
        <w:rPr/>
        <w:t xml:space="preserve">1. PlantPAx 5.0是一个重要的工厂自动化软件，需要下载Process Library 5.00.02或更高版本，并参考PROC-RM200B-EN-P手册进行学习和配置。</w:t>
      </w:r>
    </w:p>
    <w:p>
      <w:pPr>
        <w:jc w:val="both"/>
      </w:pPr>
      <w:r>
        <w:rPr/>
        <w:t xml:space="preserve">2. 在使用PlantPAx 5.0时，需要具备一定的硬件和软件条件，如特定型号的处理器、FTView SE版本12或更高以及Studio 5000 Logix Designer版本33.x或更高。</w:t>
      </w:r>
    </w:p>
    <w:p>
      <w:pPr>
        <w:jc w:val="both"/>
      </w:pPr>
      <w:r>
        <w:rPr/>
        <w:t xml:space="preserve">3. 在将Process Library文件导入到FTView SE项目中时，需要按照指定顺序依次导入HMI Images文件、Global Object文件、HMI Faceplates文件、Macros文件和HMI Tags文件，并确保设置正确。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这篇文章提供了关于PlantPAx 5.0入门的一些基本信息，但存在一些潜在的偏见和不足之处。首先，文章没有提供任何关于PlantPAx 5.0的负面方面或潜在风险的信息。它似乎只是一个宣传性质的内容，缺乏客观性和全面性。</w:t>
      </w:r>
    </w:p>
    <w:p>
      <w:pPr>
        <w:jc w:val="both"/>
      </w:pPr>
      <w:r>
        <w:rPr/>
        <w:t xml:space="preserve"/>
      </w:r>
    </w:p>
    <w:p>
      <w:pPr>
        <w:jc w:val="both"/>
      </w:pPr>
      <w:r>
        <w:rPr/>
        <w:t xml:space="preserve">其次，文章没有提供足够的证据或数据来支持其所述内容。例如，在介绍必需处理器时，并未说明为什么这些处理器是必需的，以及它们与PlantPAx 5.0的功能有何关联。缺乏具体的案例研究或实际应用示例也使得读者难以理解这些信息的重要性。</w:t>
      </w:r>
    </w:p>
    <w:p>
      <w:pPr>
        <w:jc w:val="both"/>
      </w:pPr>
      <w:r>
        <w:rPr/>
        <w:t xml:space="preserve"/>
      </w:r>
    </w:p>
    <w:p>
      <w:pPr>
        <w:jc w:val="both"/>
      </w:pPr>
      <w:r>
        <w:rPr/>
        <w:t xml:space="preserve">此外，文章可能存在片面报道的问题。它只提到了如何将Process Library文件导入FTView SE项目中，但并未涉及其他可能出现的问题或挑战。对于初学者来说，这种简单化可能会导致他们在实际操作中遇到困难。</w:t>
      </w:r>
    </w:p>
    <w:p>
      <w:pPr>
        <w:jc w:val="both"/>
      </w:pPr>
      <w:r>
        <w:rPr/>
        <w:t xml:space="preserve"/>
      </w:r>
    </w:p>
    <w:p>
      <w:pPr>
        <w:jc w:val="both"/>
      </w:pPr>
      <w:r>
        <w:rPr/>
        <w:t xml:space="preserve">最后，文章似乎更像是Rockwell Automation公司自身产品的推广内容，而非客观、中立地介绍PlantPAx 5.0系统。缺乏对竞争产品或替代方案的比较分析也使得读者无法全面了解市场上其他可选项。</w:t>
      </w:r>
    </w:p>
    <w:p>
      <w:pPr>
        <w:jc w:val="both"/>
      </w:pPr>
      <w:r>
        <w:rPr/>
        <w:t xml:space="preserve"/>
      </w:r>
    </w:p>
    <w:p>
      <w:pPr>
        <w:jc w:val="both"/>
      </w:pPr>
      <w:r>
        <w:rPr/>
        <w:t xml:space="preserve">因此，需要对这篇文章进行进一步完善和修订，以确保其提供客观、全面且准确的信息，并避免偏袒某个特定产品或厂商。</w:t>
      </w:r>
    </w:p>
    <w:p>
      <w:pPr>
        <w:pStyle w:val="Heading1"/>
      </w:pPr>
      <w:bookmarkStart w:id="5" w:name="_Toc5"/>
      <w:r>
        <w:t>Topics for further research:</w:t>
      </w:r>
      <w:bookmarkEnd w:id="5"/>
    </w:p>
    <w:p>
      <w:pPr>
        <w:spacing w:after="0"/>
        <w:numPr>
          <w:ilvl w:val="0"/>
          <w:numId w:val="2"/>
        </w:numPr>
      </w:pPr>
      <w:r>
        <w:rPr/>
        <w:t xml:space="preserve">PlantPAx </w:t>
      </w:r>
    </w:p>
    <w:p>
      <w:pPr>
        <w:spacing w:after="0"/>
        <w:numPr>
          <w:ilvl w:val="0"/>
          <w:numId w:val="2"/>
        </w:numPr>
      </w:pPr>
      <w:r>
        <w:rPr/>
        <w:t xml:space="preserve">0 potential risks and drawbacks
</w:t>
      </w:r>
    </w:p>
    <w:p>
      <w:pPr>
        <w:spacing w:after="0"/>
        <w:numPr>
          <w:ilvl w:val="0"/>
          <w:numId w:val="2"/>
        </w:numPr>
      </w:pPr>
      <w:r>
        <w:rPr/>
        <w:t xml:space="preserve">Evidence supporting the necessity of processors in PlantPAx </w:t>
      </w:r>
    </w:p>
    <w:p>
      <w:pPr>
        <w:spacing w:after="0"/>
        <w:numPr>
          <w:ilvl w:val="0"/>
          <w:numId w:val="2"/>
        </w:numPr>
      </w:pPr>
      <w:r>
        <w:rPr/>
        <w:t xml:space="preserve">0
</w:t>
      </w:r>
    </w:p>
    <w:p>
      <w:pPr>
        <w:spacing w:after="0"/>
        <w:numPr>
          <w:ilvl w:val="0"/>
          <w:numId w:val="2"/>
        </w:numPr>
      </w:pPr>
      <w:r>
        <w:rPr/>
        <w:t xml:space="preserve">Case studies or real-world applications of PlantPAx </w:t>
      </w:r>
    </w:p>
    <w:p>
      <w:pPr>
        <w:spacing w:after="0"/>
        <w:numPr>
          <w:ilvl w:val="0"/>
          <w:numId w:val="2"/>
        </w:numPr>
      </w:pPr>
      <w:r>
        <w:rPr/>
        <w:t xml:space="preserve">0
</w:t>
      </w:r>
    </w:p>
    <w:p>
      <w:pPr>
        <w:spacing w:after="0"/>
        <w:numPr>
          <w:ilvl w:val="0"/>
          <w:numId w:val="2"/>
        </w:numPr>
      </w:pPr>
      <w:r>
        <w:rPr/>
        <w:t xml:space="preserve">Challenges or issues that may arise when importing Process Library files into FTView SE projects
</w:t>
      </w:r>
    </w:p>
    <w:p>
      <w:pPr>
        <w:spacing w:after="0"/>
        <w:numPr>
          <w:ilvl w:val="0"/>
          <w:numId w:val="2"/>
        </w:numPr>
      </w:pPr>
      <w:r>
        <w:rPr/>
        <w:t xml:space="preserve">Comparison analysis of PlantPAx </w:t>
      </w:r>
    </w:p>
    <w:p>
      <w:pPr>
        <w:spacing w:after="0"/>
        <w:numPr>
          <w:ilvl w:val="0"/>
          <w:numId w:val="2"/>
        </w:numPr>
      </w:pPr>
      <w:r>
        <w:rPr/>
        <w:t xml:space="preserve">0 with competing products or alternative solutions
</w:t>
      </w:r>
    </w:p>
    <w:p>
      <w:pPr>
        <w:spacing w:after="0"/>
        <w:numPr>
          <w:ilvl w:val="0"/>
          <w:numId w:val="2"/>
        </w:numPr>
      </w:pPr>
      <w:r>
        <w:rPr/>
        <w:t xml:space="preserve">Objectivity and neutrality in promoting PlantPAx </w:t>
      </w:r>
    </w:p>
    <w:p>
      <w:pPr>
        <w:numPr>
          <w:ilvl w:val="0"/>
          <w:numId w:val="2"/>
        </w:numPr>
      </w:pPr>
      <w:r>
        <w:rPr/>
        <w:t xml:space="preserve">0 in the article</w:t>
      </w:r>
    </w:p>
    <w:p>
      <w:pPr>
        <w:pStyle w:val="Heading1"/>
      </w:pPr>
      <w:bookmarkStart w:id="6" w:name="_Toc6"/>
      <w:r>
        <w:t>Report location:</w:t>
      </w:r>
      <w:bookmarkEnd w:id="6"/>
    </w:p>
    <w:p>
      <w:hyperlink r:id="rId8" w:history="1">
        <w:r>
          <w:rPr>
            <w:color w:val="2980b9"/>
            <w:u w:val="single"/>
          </w:rPr>
          <w:t xml:space="preserve">https://www.fullpicture.app/item/b76d9c100fdbfd1ab5d4593856142555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54E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wellautomation.custhelp.com/app/answers/answer_view/a_id/1133343" TargetMode="External"/><Relationship Id="rId8" Type="http://schemas.openxmlformats.org/officeDocument/2006/relationships/hyperlink" Target="https://www.fullpicture.app/item/b76d9c100fdbfd1ab5d45938561425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2024-06-30T09:51:35+02:00</dcterms:created>
  <dcterms:modified xsi:type="dcterms:W3CDTF">2024-06-30T09:51:35+02:00</dcterms:modified>
</cp:coreProperties>
</file>

<file path=docProps/custom.xml><?xml version="1.0" encoding="utf-8"?>
<Properties xmlns="http://schemas.openxmlformats.org/officeDocument/2006/custom-properties" xmlns:vt="http://schemas.openxmlformats.org/officeDocument/2006/docPropsVTypes"/>
</file>