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Mutual fund performance persistence: Factor models and portfolio size - ScienceDirect</w:t>
      </w:r>
      <w:br/>
      <w:hyperlink r:id="rId7" w:history="1">
        <w:r>
          <w:rPr>
            <w:color w:val="2980b9"/>
            <w:u w:val="single"/>
          </w:rPr>
          <w:t xml:space="preserve">https://vpn.jlu.edu.cn/https/6a6c7576706e6973746865676f6f642146ab1ccab988c2a628982887fb4b0f3fca7e3a30a5/science/article/pii/S1057521922001016</w:t>
        </w:r>
      </w:hyperlink>
    </w:p>
    <w:p>
      <w:pPr>
        <w:pStyle w:val="Heading1"/>
      </w:pPr>
      <w:bookmarkStart w:id="2" w:name="_Toc2"/>
      <w:r>
        <w:t>Article summary:</w:t>
      </w:r>
      <w:bookmarkEnd w:id="2"/>
    </w:p>
    <w:p>
      <w:pPr>
        <w:jc w:val="both"/>
      </w:pPr>
      <w:r>
        <w:rPr/>
        <w:t xml:space="preserve">1. 本文重新审视了美国共同基金的绩效持续性，使用了学术因子模型和从业者指数模型，并研究了不同规模的组合。结果表明，在小型基金组合中，可以发现正向净阿尔法表现的持续性。</w:t>
      </w:r>
    </w:p>
    <w:p>
      <w:pPr>
        <w:jc w:val="both"/>
      </w:pPr>
      <w:r>
        <w:rPr/>
        <w:t xml:space="preserve">2. 文章还探讨了非正态分布对基金回报的影响，并使用自助法构建新的非参数绩效持续性检验统计量。此外，文章还考虑了基金经理和投资者两个角度对于净收益和毛收益持续性的影响。</w:t>
      </w:r>
    </w:p>
    <w:p>
      <w:pPr>
        <w:jc w:val="both"/>
      </w:pPr>
      <w:r>
        <w:rPr/>
        <w:t xml:space="preserve">3. 研究结果显示，投资者可以通过在小型基金组合中使用相对较短的持有期（最多6个月）和自助法技术来利用基金表现的持续性。这可能是一种比现有研究更简洁有效地利用基金表现尾部分布中持续性的方法。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该文章主要探讨了美国共同基金的绩效持续性，并使用了学术因子模型和从业者指数模型来研究。文章还考虑了不同规模的投资组合，并使用非参数bootstrap p值以及传统t检验来进行分析。作者发现，在小型基金组合中，无论是从业者指数模型还是学术因子模型，都存在正向净阿尔法表现持续性。</w:t>
      </w:r>
    </w:p>
    <w:p>
      <w:pPr>
        <w:jc w:val="both"/>
      </w:pPr>
      <w:r>
        <w:rPr/>
        <w:t xml:space="preserve"/>
      </w:r>
    </w:p>
    <w:p>
      <w:pPr>
        <w:jc w:val="both"/>
      </w:pPr>
      <w:r>
        <w:rPr/>
        <w:t xml:space="preserve">然而，该文章存在一些潜在偏见和局限性。首先，作者没有考虑到可能存在的市场风险和其他未知风险对基金表现的影响。其次，作者只关注了净阿尔法表现持续性，而忽略了毛阿尔法表现持续性对于基金管理公司和投资者的重要性。此外，作者也没有考虑到交易成本、税收等因素对基金表现的影响。</w:t>
      </w:r>
    </w:p>
    <w:p>
      <w:pPr>
        <w:jc w:val="both"/>
      </w:pPr>
      <w:r>
        <w:rPr/>
        <w:t xml:space="preserve"/>
      </w:r>
    </w:p>
    <w:p>
      <w:pPr>
        <w:jc w:val="both"/>
      </w:pPr>
      <w:r>
        <w:rPr/>
        <w:t xml:space="preserve">此外，该文章也存在一些片面报道和缺失考虑点。例如，作者只关注了小型基金组合中的正向净阿尔法表现持续性，并没有探讨负向净阿尔法或毛阿尔法表现持续性是否存在。此外，作者也没有考虑到不同类型的共同基金（如股票、债券、混合型等）可能存在的差异。</w:t>
      </w:r>
    </w:p>
    <w:p>
      <w:pPr>
        <w:jc w:val="both"/>
      </w:pPr>
      <w:r>
        <w:rPr/>
        <w:t xml:space="preserve"/>
      </w:r>
    </w:p>
    <w:p>
      <w:pPr>
        <w:jc w:val="both"/>
      </w:pPr>
      <w:r>
        <w:rPr/>
        <w:t xml:space="preserve">最后，该文章也存在一些宣传内容和偏袒。例如，作者强调了小型基金组合中的正向净阿尔法表现持续性，并没有提及其他可能存在的风险或缺陷。此外，作者也没有平等地呈现双方观点，而是只关注了基金管理公司和投资者的利益。</w:t>
      </w:r>
    </w:p>
    <w:p>
      <w:pPr>
        <w:jc w:val="both"/>
      </w:pPr>
      <w:r>
        <w:rPr/>
        <w:t xml:space="preserve"/>
      </w:r>
    </w:p>
    <w:p>
      <w:pPr>
        <w:jc w:val="both"/>
      </w:pPr>
      <w:r>
        <w:rPr/>
        <w:t xml:space="preserve">综上所述，虽然该文章对共同基金绩效持续性进行了探讨，但其存在一些潜在偏见和局限性。因此，在使用该文章的结论时需要谨慎，并考虑其他可能存在的因素和风险。</w:t>
      </w:r>
    </w:p>
    <w:p>
      <w:pPr>
        <w:pStyle w:val="Heading1"/>
      </w:pPr>
      <w:bookmarkStart w:id="5" w:name="_Toc5"/>
      <w:r>
        <w:t>Topics for further research:</w:t>
      </w:r>
      <w:bookmarkEnd w:id="5"/>
    </w:p>
    <w:p>
      <w:pPr>
        <w:spacing w:after="0"/>
        <w:numPr>
          <w:ilvl w:val="0"/>
          <w:numId w:val="2"/>
        </w:numPr>
      </w:pPr>
      <w:r>
        <w:rPr/>
        <w:t xml:space="preserve">Market risk and other unknown risks
</w:t>
      </w:r>
    </w:p>
    <w:p>
      <w:pPr>
        <w:spacing w:after="0"/>
        <w:numPr>
          <w:ilvl w:val="0"/>
          <w:numId w:val="2"/>
        </w:numPr>
      </w:pPr>
      <w:r>
        <w:rPr/>
        <w:t xml:space="preserve">Gross alpha performance persistence
</w:t>
      </w:r>
    </w:p>
    <w:p>
      <w:pPr>
        <w:spacing w:after="0"/>
        <w:numPr>
          <w:ilvl w:val="0"/>
          <w:numId w:val="2"/>
        </w:numPr>
      </w:pPr>
      <w:r>
        <w:rPr/>
        <w:t xml:space="preserve">Impact of transaction costs and taxes
</w:t>
      </w:r>
    </w:p>
    <w:p>
      <w:pPr>
        <w:spacing w:after="0"/>
        <w:numPr>
          <w:ilvl w:val="0"/>
          <w:numId w:val="2"/>
        </w:numPr>
      </w:pPr>
      <w:r>
        <w:rPr/>
        <w:t xml:space="preserve">Negative net alpha or gross alpha performance persistence
</w:t>
      </w:r>
    </w:p>
    <w:p>
      <w:pPr>
        <w:spacing w:after="0"/>
        <w:numPr>
          <w:ilvl w:val="0"/>
          <w:numId w:val="2"/>
        </w:numPr>
      </w:pPr>
      <w:r>
        <w:rPr/>
        <w:t xml:space="preserve">Differences between types of mutual funds
</w:t>
      </w:r>
    </w:p>
    <w:p>
      <w:pPr>
        <w:numPr>
          <w:ilvl w:val="0"/>
          <w:numId w:val="2"/>
        </w:numPr>
      </w:pPr>
      <w:r>
        <w:rPr/>
        <w:t xml:space="preserve">Balanced presentation of both sides' perspectives</w:t>
      </w:r>
    </w:p>
    <w:p>
      <w:pPr>
        <w:pStyle w:val="Heading1"/>
      </w:pPr>
      <w:bookmarkStart w:id="6" w:name="_Toc6"/>
      <w:r>
        <w:t>Report location:</w:t>
      </w:r>
      <w:bookmarkEnd w:id="6"/>
    </w:p>
    <w:p>
      <w:hyperlink r:id="rId8" w:history="1">
        <w:r>
          <w:rPr>
            <w:color w:val="2980b9"/>
            <w:u w:val="single"/>
          </w:rPr>
          <w:t xml:space="preserve">https://www.fullpicture.app/item/b49284f83b12fb76660cd2dac10fcda1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4D8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1057521922001016" TargetMode="External"/><Relationship Id="rId8" Type="http://schemas.openxmlformats.org/officeDocument/2006/relationships/hyperlink" Target="https://www.fullpicture.app/item/b49284f83b12fb76660cd2dac10fcd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2024-01-02T01:48:20+01:00</dcterms:created>
  <dcterms:modified xsi:type="dcterms:W3CDTF">2024-01-02T01:48:20+01:00</dcterms:modified>
</cp:coreProperties>
</file>

<file path=docProps/custom.xml><?xml version="1.0" encoding="utf-8"?>
<Properties xmlns="http://schemas.openxmlformats.org/officeDocument/2006/custom-properties" xmlns:vt="http://schemas.openxmlformats.org/officeDocument/2006/docPropsVTypes"/>
</file>