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类风湿关节炎患者的肠道微生物群及其与外周淋巴细胞亚群和细胞因子的相关性 - PMC</w:t>
      </w:r>
      <w:br/>
      <w:hyperlink r:id="rId7" w:history="1">
        <w:r>
          <w:rPr>
            <w:color w:val="2980b9"/>
            <w:u w:val="single"/>
          </w:rPr>
          <w:t xml:space="preserve">https://www.ncbi.nlm.nih.gov/pmc/articles/PMC7810541/</w:t>
        </w:r>
      </w:hyperlink>
    </w:p>
    <w:p>
      <w:pPr>
        <w:pStyle w:val="Heading1"/>
      </w:pPr>
      <w:bookmarkStart w:id="2" w:name="_Toc2"/>
      <w:r>
        <w:t>Article summary:</w:t>
      </w:r>
      <w:bookmarkEnd w:id="2"/>
    </w:p>
    <w:p>
      <w:pPr>
        <w:jc w:val="both"/>
      </w:pPr>
      <w:r>
        <w:rPr/>
        <w:t xml:space="preserve">1. 肠道微生物组与类风湿关节炎（RA）的发展有关，RA患者肠道微生物群的多样性和相对丰度与健康对照患者显著不同。</w:t>
      </w:r>
    </w:p>
    <w:p>
      <w:pPr>
        <w:jc w:val="both"/>
      </w:pPr>
      <w:r>
        <w:rPr/>
        <w:t xml:space="preserve">2. RA患者淋巴细胞亚群存在紊乱，肠道微生物组与淋巴细胞亚群以及血清细胞因子之间存在相关性。</w:t>
      </w:r>
    </w:p>
    <w:p>
      <w:pPr>
        <w:jc w:val="both"/>
      </w:pPr>
      <w:r>
        <w:rPr/>
        <w:t xml:space="preserve">3. 异常细菌群落可能是RA的发病机制之一，需要进一步探究。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由于本文是一篇科学研究论文，其内容相对客观，但仍存在一些潜在的偏见和局限性。</w:t>
      </w:r>
    </w:p>
    <w:p>
      <w:pPr>
        <w:jc w:val="both"/>
      </w:pPr>
      <w:r>
        <w:rPr/>
        <w:t xml:space="preserve"/>
      </w:r>
    </w:p>
    <w:p>
      <w:pPr>
        <w:jc w:val="both"/>
      </w:pPr>
      <w:r>
        <w:rPr/>
        <w:t xml:space="preserve">首先，本文的样本数量较小，只有205名RA患者和199名健康对照组参与者。这可能导致结果的可靠性受到影响，并且不能代表整个RA患者群体。此外，该研究只涉及中国人群，因此其结果可能不适用于其他种族或地区。</w:t>
      </w:r>
    </w:p>
    <w:p>
      <w:pPr>
        <w:jc w:val="both"/>
      </w:pPr>
      <w:r>
        <w:rPr/>
        <w:t xml:space="preserve"/>
      </w:r>
    </w:p>
    <w:p>
      <w:pPr>
        <w:jc w:val="both"/>
      </w:pPr>
      <w:r>
        <w:rPr/>
        <w:t xml:space="preserve">其次，在文章中提到了肠道微生物组与淋巴细胞亚群以及血清细胞因子之间的关系，但并没有探讨这些关系的具体机制。因此，需要更多的研究来解释这些发现，并确定它们是否可以用于治疗RA。</w:t>
      </w:r>
    </w:p>
    <w:p>
      <w:pPr>
        <w:jc w:val="both"/>
      </w:pPr>
      <w:r>
        <w:rPr/>
        <w:t xml:space="preserve"/>
      </w:r>
    </w:p>
    <w:p>
      <w:pPr>
        <w:jc w:val="both"/>
      </w:pPr>
      <w:r>
        <w:rPr/>
        <w:t xml:space="preserve">此外，在文章中并未提及任何可能存在的风险或副作用。例如，在改变肠道微生物组时可能会出现不良反应或其他健康问题。因此，在进行类似研究时需要更加谨慎，并考虑所有潜在风险。</w:t>
      </w:r>
    </w:p>
    <w:p>
      <w:pPr>
        <w:jc w:val="both"/>
      </w:pPr>
      <w:r>
        <w:rPr/>
        <w:t xml:space="preserve"/>
      </w:r>
    </w:p>
    <w:p>
      <w:pPr>
        <w:jc w:val="both"/>
      </w:pPr>
      <w:r>
        <w:rPr/>
        <w:t xml:space="preserve">最后，尽管本文提供了一些有价值的信息和发现，但它仍然存在某些片面报道和缺失考虑点。例如，在讨论肠道微生物组与RA之间的关系时，文章没有考虑其他可能的因素，如遗传和环境因素。此外，文章也没有探讨肠道微生物组对其他疾病或健康问题的影响。</w:t>
      </w:r>
    </w:p>
    <w:p>
      <w:pPr>
        <w:jc w:val="both"/>
      </w:pPr>
      <w:r>
        <w:rPr/>
        <w:t xml:space="preserve"/>
      </w:r>
    </w:p>
    <w:p>
      <w:pPr>
        <w:jc w:val="both"/>
      </w:pPr>
      <w:r>
        <w:rPr/>
        <w:t xml:space="preserve">总之，本文提供了一些有价值的信息和发现，但需要更多的研究来验证这些结果，并确定它们是否可以用于治疗RA。此外，在进行类似研究时需要更加谨慎，并考虑所有潜在风险和局限性。</w:t>
      </w:r>
    </w:p>
    <w:p>
      <w:pPr>
        <w:pStyle w:val="Heading1"/>
      </w:pPr>
      <w:bookmarkStart w:id="5" w:name="_Toc5"/>
      <w:r>
        <w:t>Topics for further research:</w:t>
      </w:r>
      <w:bookmarkEnd w:id="5"/>
    </w:p>
    <w:p>
      <w:pPr>
        <w:spacing w:after="0"/>
        <w:numPr>
          <w:ilvl w:val="0"/>
          <w:numId w:val="2"/>
        </w:numPr>
      </w:pPr>
      <w:r>
        <w:rPr/>
        <w:t xml:space="preserve">Genetic and environmental factors in rheumatoid arthritis
</w:t>
      </w:r>
    </w:p>
    <w:p>
      <w:pPr>
        <w:spacing w:after="0"/>
        <w:numPr>
          <w:ilvl w:val="0"/>
          <w:numId w:val="2"/>
        </w:numPr>
      </w:pPr>
      <w:r>
        <w:rPr/>
        <w:t xml:space="preserve">Potential risks and side effects of altering gut microbiota
</w:t>
      </w:r>
    </w:p>
    <w:p>
      <w:pPr>
        <w:spacing w:after="0"/>
        <w:numPr>
          <w:ilvl w:val="0"/>
          <w:numId w:val="2"/>
        </w:numPr>
      </w:pPr>
      <w:r>
        <w:rPr/>
        <w:t xml:space="preserve">Mechanisms underlying the relationship between gut microbiota</w:t>
      </w:r>
    </w:p>
    <w:p>
      <w:pPr>
        <w:spacing w:after="0"/>
        <w:numPr>
          <w:ilvl w:val="0"/>
          <w:numId w:val="2"/>
        </w:numPr>
      </w:pPr>
      <w:r>
        <w:rPr/>
        <w:t xml:space="preserve">lymphocyte subsets</w:t>
      </w:r>
    </w:p>
    <w:p>
      <w:pPr>
        <w:spacing w:after="0"/>
        <w:numPr>
          <w:ilvl w:val="0"/>
          <w:numId w:val="2"/>
        </w:numPr>
      </w:pPr>
      <w:r>
        <w:rPr/>
        <w:t xml:space="preserve">and serum cytokines
</w:t>
      </w:r>
    </w:p>
    <w:p>
      <w:pPr>
        <w:spacing w:after="0"/>
        <w:numPr>
          <w:ilvl w:val="0"/>
          <w:numId w:val="2"/>
        </w:numPr>
      </w:pPr>
      <w:r>
        <w:rPr/>
        <w:t xml:space="preserve">Generalizability of findings to other populations and ethnicities
</w:t>
      </w:r>
    </w:p>
    <w:p>
      <w:pPr>
        <w:spacing w:after="0"/>
        <w:numPr>
          <w:ilvl w:val="0"/>
          <w:numId w:val="2"/>
        </w:numPr>
      </w:pPr>
      <w:r>
        <w:rPr/>
        <w:t xml:space="preserve">Limitations of small sample size in the study
</w:t>
      </w:r>
    </w:p>
    <w:p>
      <w:pPr>
        <w:numPr>
          <w:ilvl w:val="0"/>
          <w:numId w:val="2"/>
        </w:numPr>
      </w:pPr>
      <w:r>
        <w:rPr/>
        <w:t xml:space="preserve">Impact of gut microbiota on other diseases and health issues</w:t>
      </w:r>
    </w:p>
    <w:p>
      <w:pPr>
        <w:pStyle w:val="Heading1"/>
      </w:pPr>
      <w:bookmarkStart w:id="6" w:name="_Toc6"/>
      <w:r>
        <w:t>Report location:</w:t>
      </w:r>
      <w:bookmarkEnd w:id="6"/>
    </w:p>
    <w:p>
      <w:hyperlink r:id="rId8" w:history="1">
        <w:r>
          <w:rPr>
            <w:color w:val="2980b9"/>
            <w:u w:val="single"/>
          </w:rPr>
          <w:t xml:space="preserve">https://www.fullpicture.app/item/b436512758d7a383d6bf7305d5cbfca4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77B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810541/" TargetMode="External"/><Relationship Id="rId8" Type="http://schemas.openxmlformats.org/officeDocument/2006/relationships/hyperlink" Target="https://www.fullpicture.app/item/b436512758d7a383d6bf7305d5cbfc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2024-01-07T06:08:45+01:00</dcterms:created>
  <dcterms:modified xsi:type="dcterms:W3CDTF">2024-01-07T06:08:45+01:00</dcterms:modified>
</cp:coreProperties>
</file>

<file path=docProps/custom.xml><?xml version="1.0" encoding="utf-8"?>
<Properties xmlns="http://schemas.openxmlformats.org/officeDocument/2006/custom-properties" xmlns:vt="http://schemas.openxmlformats.org/officeDocument/2006/docPropsVTypes"/>
</file>