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Sarcopenia Induced by Chronic Liver Disease in Mice Requires the Expression of the Bile Acids Membrane Receptor TGR5 -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https://www.ncbi.nlm.nih.gov/pmc/articles/PMC7662491/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Sarcopenia is a condition of muscle dysfunction commonly associated with chronic liver disease (CLD), characterized by a decline in muscle strength, the activation of the ubiquitin-proteasome system (UPS), and oxidative stress.</w:t>
      </w:r>
    </w:p>
    <w:p>
      <w:pPr>
        <w:jc w:val="both"/>
      </w:pPr>
      <w:r>
        <w:rPr/>
        <w:t xml:space="preserve">2. The bile acids membrane receptor TGR5 plays a crucial role in the development of sarcopenia induced by CLD in mice, as all sarcopenia features induced by the DDC-supplemented diet in mice are dependent on TGR5 receptor expression.</w:t>
      </w:r>
    </w:p>
    <w:p>
      <w:pPr>
        <w:jc w:val="both"/>
      </w:pPr>
      <w:r>
        <w:rPr/>
        <w:t xml:space="preserve">3. UPS overactivation and oxidative stress were abolished in tibialis anterior muscles from TGR5−/− mice, indicating that TGR5 signaling is necessary for these processes to occur.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针对小鼠慢性肝病引起肌肉萎缩的研究，主要探讨胆汁酸膜受体TGR5在这一过程中的作用。文章提到，通过DDC诱导小鼠慢性肝病可以导致血液中胆汁酸水平升高，并且这种情况下TGR5表达增加，从而引发了肌肉萎缩。作者通过比较野生型小鼠和TGR5基因敲除小鼠的实验结果，得出了TGR5在这一过程中的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偏见来源：该文章只关注了TGR5在慢性肝病引起的肌肉萎缩中的作用，没有考虑其他可能影响这一过程的因素。例如，是否有其他因素也会影响胆汁酸水平或者UPS系统活性等指标？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片面报道：该文章只报道了实验结果支持TGR5在这一过程中的作用，并没有探讨其他可能解释实验结果的原因。例如，在TGR5基因敲除小鼠中是否有其他代偿机制发挥了作用？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缺失考虑点：该文章没有考虑到人类患者与小鼠模型之间存在差异。例如，在人类患者身上是否也存在类似于小鼠模型中所观察到的现象？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主张缺失证据：尽管作者声称所有观察到的现象都与TGR5表达相关，但是并没有提供足够证据来支持这一主张。例如，在野生型小鼠和基因敲除小鼠之间是否存在其他差异？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综上所述，该文章存在多个问题需要进一步探讨和验证。同时，在进行科学研究时应当注意避免片面报道、偏袒、宣传内容等问题，并且应当平等地呈现双方观点以及可能存在的风险和不确定性。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bile acid levels or UPS system activity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explanations for the experimental results
</w:t>
      </w:r>
    </w:p>
    <w:p>
      <w:pPr>
        <w:spacing w:after="0"/>
        <w:numPr>
          <w:ilvl w:val="0"/>
          <w:numId w:val="2"/>
        </w:numPr>
      </w:pPr>
      <w:r>
        <w:rPr/>
        <w:t xml:space="preserve">Differences between human patients and mouse models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 that all observed phenomena are related to TGR5 expression
</w:t>
      </w:r>
    </w:p>
    <w:p>
      <w:pPr>
        <w:spacing w:after="0"/>
        <w:numPr>
          <w:ilvl w:val="0"/>
          <w:numId w:val="2"/>
        </w:numPr>
      </w:pPr>
      <w:r>
        <w:rPr/>
        <w:t xml:space="preserve">Avoiding one-sided reporting</w:t>
      </w:r>
    </w:p>
    <w:p>
      <w:pPr>
        <w:spacing w:after="0"/>
        <w:numPr>
          <w:ilvl w:val="0"/>
          <w:numId w:val="2"/>
        </w:numPr>
      </w:pPr>
      <w:r>
        <w:rPr/>
        <w:t xml:space="preserve">bias</w:t>
      </w:r>
    </w:p>
    <w:p>
      <w:pPr>
        <w:spacing w:after="0"/>
        <w:numPr>
          <w:ilvl w:val="0"/>
          <w:numId w:val="2"/>
        </w:numPr>
      </w:pPr>
      <w:r>
        <w:rPr/>
        <w:t xml:space="preserve">and propaganda in scientific research
</w:t>
      </w:r>
    </w:p>
    <w:p>
      <w:pPr>
        <w:numPr>
          <w:ilvl w:val="0"/>
          <w:numId w:val="2"/>
        </w:numPr>
      </w:pPr>
      <w:r>
        <w:rPr/>
        <w:t xml:space="preserve">Presenting both sides of the argument and potential risks and uncertainties equally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https://www.fullpicture.app/item/b31d1b097cff5ef42a69d43786dec8eb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BA1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662491/" TargetMode="External"/><Relationship Id="rId8" Type="http://schemas.openxmlformats.org/officeDocument/2006/relationships/hyperlink" Target="https://www.fullpicture.app/item/b31d1b097cff5ef42a69d43786dec8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2023-12-18T06:22:44+01:00</dcterms:created>
  <dcterms:modified xsi:type="dcterms:W3CDTF">2023-12-18T06:22:44+01:00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