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High-efficient CO2-to-protein bioconversion by oleaginous Coccomyxa subellipsoidea using light quality shift and nitrogen supplementation strategy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https://www.sciencedirect.com/science/article/abs/pii/S1385894723038974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种新的“CO2转化为蛋白质”的生物转化模式，通过调控光质和氮素补充策略，在两阶段培养中同时增强光合作用和氮同化，实现了最高的CO2固定速率、蛋白质含量和产量，并具有优异的蛋白质质量。</w:t>
      </w:r>
    </w:p>
    <w:p>
      <w:pPr>
        <w:jc w:val="both"/>
      </w:pPr>
      <w:r>
        <w:rPr/>
        <w:t xml:space="preserve">2. 光质对Coccomyxa subellipsoidea（C.sub）细胞生长和光合作用有显著影响。红光对生物量产量最有利，而红：蓝（R：B）比例为4:1和2:1的混合光也优于蓝光。此外，不同光质还会影响氮吸收和同化过程。</w:t>
      </w:r>
    </w:p>
    <w:p>
      <w:pPr>
        <w:jc w:val="both"/>
      </w:pPr>
      <w:r>
        <w:rPr/>
        <w:t xml:space="preserve">3. 通过调节LED灯波长和氮素水平，可以有效地调控C.sub的生长、CO2固定和蛋白质合成。这种策略为CO2生物固定与高价值化合物生产提供了经济可行性，并在碳中和和缓解粮食危机方面做出了重要贡献。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这篇文章探讨了利用光质转变和氮补充策略来提高油脂微藻Coccomyxa subellipsoidea的CO2转化为蛋白质的效率。文章首先介绍了传统的基于微藻的生物燃料生产方法存在的问题，然后提出了将目标产品从油脂转变为更有价值的生物化合物，如蛋白质，以降低成本并增加经济竞争力的新框架。接着，文章讨论了光质对微藻生长和代谢的影响，并指出特定LED光源可以显著改变微藻的生物化学组成。此外，文章还提到通过调节氮水平和光质可以正向调控微藻合成蛋白质。最后，文章总结了该研究对实现碳中和和缓解粮食危机具有重要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不足之处。首先，文章没有明确提及可能存在的风险或限制条件。例如，在实际应用中，是否存在其他环境因素或资源限制可能会影响该策略的可行性？其次，文章没有平等地呈现双方观点。虽然文章提到了微藻基于蛋白质的潜力，但没有探讨其他可能的替代方案或竞争技术。此外，文章没有提供足够的证据来支持其主张。尽管文章提到了一些先前的研究结果，但没有详细说明如何得出这些结论或提供相关数据。最后，文章缺乏对可能存在的风险和挑战进行全面考虑。例如，光质转变和氮补充策略是否会导致其他不良影响，如能源消耗增加或环境污染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总体而言，这篇文章提出了一个有潜力的策略来利用微藻将CO2转化为蛋白质，并对其应用前景进行了初步讨论。然而，由于存在上述问题和不足之处，需要进一步研究和实证才能确定该策略的可行性和效果。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微藻生物燃料生产的问题
</w:t>
      </w:r>
    </w:p>
    <w:p>
      <w:pPr>
        <w:spacing w:after="0"/>
        <w:numPr>
          <w:ilvl w:val="0"/>
          <w:numId w:val="2"/>
        </w:numPr>
      </w:pPr>
      <w:r>
        <w:rPr/>
        <w:t xml:space="preserve">油脂转变为蛋白质的新框架
</w:t>
      </w:r>
    </w:p>
    <w:p>
      <w:pPr>
        <w:spacing w:after="0"/>
        <w:numPr>
          <w:ilvl w:val="0"/>
          <w:numId w:val="2"/>
        </w:numPr>
      </w:pPr>
      <w:r>
        <w:rPr/>
        <w:t xml:space="preserve">光质对微藻生长和代谢的影响
</w:t>
      </w:r>
    </w:p>
    <w:p>
      <w:pPr>
        <w:spacing w:after="0"/>
        <w:numPr>
          <w:ilvl w:val="0"/>
          <w:numId w:val="2"/>
        </w:numPr>
      </w:pPr>
      <w:r>
        <w:rPr/>
        <w:t xml:space="preserve">特定LED光源改变微藻的生物化学组成
</w:t>
      </w:r>
    </w:p>
    <w:p>
      <w:pPr>
        <w:spacing w:after="0"/>
        <w:numPr>
          <w:ilvl w:val="0"/>
          <w:numId w:val="2"/>
        </w:numPr>
      </w:pPr>
      <w:r>
        <w:rPr/>
        <w:t xml:space="preserve">调节氮水平和光质正向调控微藻合成蛋白质
</w:t>
      </w:r>
    </w:p>
    <w:p>
      <w:pPr>
        <w:numPr>
          <w:ilvl w:val="0"/>
          <w:numId w:val="2"/>
        </w:numPr>
      </w:pPr>
      <w:r>
        <w:rPr/>
        <w:t xml:space="preserve">实现碳中和和缓解粮食危机的重要意义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https://www.fullpicture.app/item/b2e9adc5a3875f5b15d0439bcbf691b5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1DA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85894723038974" TargetMode="External"/><Relationship Id="rId8" Type="http://schemas.openxmlformats.org/officeDocument/2006/relationships/hyperlink" Target="https://www.fullpicture.app/item/b2e9adc5a3875f5b15d0439bcbf691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2023-08-24T09:57:06+02:00</dcterms:created>
  <dcterms:modified xsi:type="dcterms:W3CDTF">2023-08-24T09:57:06+02:00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