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Virussicherheit von biologischen Arzneimitteln | SpringerLink</w:t>
      </w:r>
      <w:br/>
      <w:hyperlink r:id="rId7" w:history="1">
        <w:r>
          <w:rPr>
            <w:color w:val="2980b9"/>
            <w:u w:val="single"/>
          </w:rPr>
          <w:t xml:space="preserve">https://link-springer-com.ezproxy.uni-giessen.de/article/10.1007/s00103-014-2030-4</w:t>
        </w:r>
      </w:hyperlink>
    </w:p>
    <w:p>
      <w:pPr>
        <w:pStyle w:val="Heading1"/>
      </w:pPr>
      <w:bookmarkStart w:id="2" w:name="_Toc2"/>
      <w:r>
        <w:t>Article summary:</w:t>
      </w:r>
      <w:bookmarkEnd w:id="2"/>
    </w:p>
    <w:p>
      <w:pPr>
        <w:jc w:val="both"/>
      </w:pPr>
      <w:r>
        <w:rPr/>
        <w:t xml:space="preserve">1. Die Herstellung von biologischen Arzneimitteln birgt Risiken für Viruskontaminationen.</w:t>
      </w:r>
    </w:p>
    <w:p>
      <w:pPr>
        <w:jc w:val="both"/>
      </w:pPr>
      <w:r>
        <w:rPr/>
        <w:t xml:space="preserve">2. Zur Gewährleistung der Virussicherheit werden umfangreiche Testungen und Virusinaktivierungsverfahren eingesetzt.</w:t>
      </w:r>
    </w:p>
    <w:p>
      <w:pPr>
        <w:jc w:val="both"/>
      </w:pPr>
      <w:r>
        <w:rPr/>
        <w:t xml:space="preserve">3. Es gibt spezifische Vorschriften zur Testung von Blutspenden und Plasmaprodukten sowie zur Herstellung von Virusimpfstoffen und viralen Gentransferarzneimitteln.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behandelt die Virussicherheit von biologischen Arzneimitteln und geht auf verschiedene Aspekte ein, wie die Testung von Blut- und Plasmaspenden sowie Verfahren zur Virusentfernung bzw. -inaktivierung. Der Inhalt des Artikels scheint gut recherchiert zu sein und gibt einen Überblick über die Vorschriften zur Arzneimittelprüfung, um die Virussicherheit zu gewährleisten.</w:t>
      </w:r>
    </w:p>
    <w:p>
      <w:pPr>
        <w:jc w:val="both"/>
      </w:pPr>
      <w:r>
        <w:rPr/>
        <w:t xml:space="preserve"/>
      </w:r>
    </w:p>
    <w:p>
      <w:pPr>
        <w:jc w:val="both"/>
      </w:pPr>
      <w:r>
        <w:rPr/>
        <w:t xml:space="preserve">Es gibt jedoch einige potenzielle Vorurteile und einseitige Berichterstattung in dem Artikel. Zum Beispiel wird nicht erwähnt, dass es auch andere Kontaminationsquellen für biologische Arzneimittel geben kann, wie zum Beispiel Kreuzkontaminationen während der Herstellung oder unsachgemäße Lagerung. Es wird auch nicht darauf eingegangen, dass trotz umfangreicher Testungen immer noch ein Restrisiko für Viruskontaminationen besteht.</w:t>
      </w:r>
    </w:p>
    <w:p>
      <w:pPr>
        <w:jc w:val="both"/>
      </w:pPr>
      <w:r>
        <w:rPr/>
        <w:t xml:space="preserve"/>
      </w:r>
    </w:p>
    <w:p>
      <w:pPr>
        <w:jc w:val="both"/>
      </w:pPr>
      <w:r>
        <w:rPr/>
        <w:t xml:space="preserve">Ein weiteres Problem ist, dass der Artikel keine ausreichenden Beweise für die Wirksamkeit der vorgestellten Verfahren zur Virusentfernung bzw. -inaktivierung liefert. Es wird lediglich erwähnt, dass diese Methoden sich bewährt haben, ohne jedoch konkrete Studien oder Daten anzuführen.</w:t>
      </w:r>
    </w:p>
    <w:p>
      <w:pPr>
        <w:jc w:val="both"/>
      </w:pPr>
      <w:r>
        <w:rPr/>
        <w:t xml:space="preserve"/>
      </w:r>
    </w:p>
    <w:p>
      <w:pPr>
        <w:jc w:val="both"/>
      </w:pPr>
      <w:r>
        <w:rPr/>
        <w:t xml:space="preserve">Des Weiteren werden mögliche Gegenargumente oder unerforschte Risiken nicht ausreichend berücksichtigt. Es wird beispielsweise nicht darauf eingegangen, ob es mögliche Langzeitfolgen oder unbekannte Nebenwirkungen der verwendeten Verfahren gibt.</w:t>
      </w:r>
    </w:p>
    <w:p>
      <w:pPr>
        <w:jc w:val="both"/>
      </w:pPr>
      <w:r>
        <w:rPr/>
        <w:t xml:space="preserve"/>
      </w:r>
    </w:p>
    <w:p>
      <w:pPr>
        <w:jc w:val="both"/>
      </w:pPr>
      <w:r>
        <w:rPr/>
        <w:t xml:space="preserve">Zudem könnte der Artikel Werbeinhalte enthalten, da er im SpringerLink veröffentlicht wurde, einer Plattform für wissenschaftliche Veröffentlichungen. Es ist möglich, dass der Artikel dazu dient, bestimmte Produkte oder Verfahren zu bewerben, ohne dies jedoch explizit anzugeben.</w:t>
      </w:r>
    </w:p>
    <w:p>
      <w:pPr>
        <w:jc w:val="both"/>
      </w:pPr>
      <w:r>
        <w:rPr/>
        <w:t xml:space="preserve"/>
      </w:r>
    </w:p>
    <w:p>
      <w:pPr>
        <w:jc w:val="both"/>
      </w:pPr>
      <w:r>
        <w:rPr/>
        <w:t xml:space="preserve">Es ist auch wichtig anzumerken, dass der Artikel möglicherweise nicht beide Seiten des Themas gleich darstellt. Es wird hauptsächlich auf die Maßnahmen zur Virussicherheit eingegangen, ohne mögliche Bedenken oder Kritikpunkte zu diskutieren. Eine ausgewogenere Darstellung hätte auch die potenziellen Risiken und Herausforderungen bei der Herstellung von biologischen Arzneimitteln beleuchten sollen.</w:t>
      </w:r>
    </w:p>
    <w:p>
      <w:pPr>
        <w:jc w:val="both"/>
      </w:pPr>
      <w:r>
        <w:rPr/>
        <w:t xml:space="preserve"/>
      </w:r>
    </w:p>
    <w:p>
      <w:pPr>
        <w:jc w:val="both"/>
      </w:pPr>
      <w:r>
        <w:rPr/>
        <w:t xml:space="preserve">Insgesamt fehlt es dem Artikel an einer kritischen Betrachtung und einer ausgewogenen Darstellung des Themas. Es werden Behauptungen aufgestellt, ohne ausreichende Beweise oder Gegenargumente anzuführen. Dies führt zu einer einseitigen Berichterstattung und lässt wichtige Aspekte außer Acht.</w:t>
      </w:r>
    </w:p>
    <w:p>
      <w:pPr>
        <w:pStyle w:val="Heading1"/>
      </w:pPr>
      <w:bookmarkStart w:id="5" w:name="_Toc5"/>
      <w:r>
        <w:t>Topics for further research:</w:t>
      </w:r>
      <w:bookmarkEnd w:id="5"/>
    </w:p>
    <w:p>
      <w:pPr>
        <w:spacing w:after="0"/>
        <w:numPr>
          <w:ilvl w:val="0"/>
          <w:numId w:val="2"/>
        </w:numPr>
      </w:pPr>
      <w:r>
        <w:rPr/>
        <w:t xml:space="preserve">Risiken von biologischen Arzneimitteln bei unsachgemäßer Lagerung und Herstellung
</w:t>
      </w:r>
    </w:p>
    <w:p>
      <w:pPr>
        <w:spacing w:after="0"/>
        <w:numPr>
          <w:ilvl w:val="0"/>
          <w:numId w:val="2"/>
        </w:numPr>
      </w:pPr>
      <w:r>
        <w:rPr/>
        <w:t xml:space="preserve">Langzeitfolgen und unbekannte Nebenwirkungen der Verfahren zur Virusentfernung und -inaktivierung
</w:t>
      </w:r>
    </w:p>
    <w:p>
      <w:pPr>
        <w:spacing w:after="0"/>
        <w:numPr>
          <w:ilvl w:val="0"/>
          <w:numId w:val="2"/>
        </w:numPr>
      </w:pPr>
      <w:r>
        <w:rPr/>
        <w:t xml:space="preserve">Kritikpunkte und Bedenken bezüglich der Virussicherheit von biologischen Arzneimitteln
</w:t>
      </w:r>
    </w:p>
    <w:p>
      <w:pPr>
        <w:spacing w:after="0"/>
        <w:numPr>
          <w:ilvl w:val="0"/>
          <w:numId w:val="2"/>
        </w:numPr>
      </w:pPr>
      <w:r>
        <w:rPr/>
        <w:t xml:space="preserve">Alternativen zur Testung von Blut- und Plasmaspenden zur Gewährleistung der Virussicherheit
</w:t>
      </w:r>
    </w:p>
    <w:p>
      <w:pPr>
        <w:spacing w:after="0"/>
        <w:numPr>
          <w:ilvl w:val="0"/>
          <w:numId w:val="2"/>
        </w:numPr>
      </w:pPr>
      <w:r>
        <w:rPr/>
        <w:t xml:space="preserve">Herausforderungen bei der Herstellung von biologischen Arzneimitteln und Kontaminationsquellen
</w:t>
      </w:r>
    </w:p>
    <w:p>
      <w:pPr>
        <w:numPr>
          <w:ilvl w:val="0"/>
          <w:numId w:val="2"/>
        </w:numPr>
      </w:pPr>
      <w:r>
        <w:rPr/>
        <w:t xml:space="preserve">Unabhängige Studien und Daten zur Wirksamkeit der vorgestellten Verfahren zur Virusentfernung und -inaktivierung</w:t>
      </w:r>
    </w:p>
    <w:p>
      <w:pPr>
        <w:pStyle w:val="Heading1"/>
      </w:pPr>
      <w:bookmarkStart w:id="6" w:name="_Toc6"/>
      <w:r>
        <w:t>Report location:</w:t>
      </w:r>
      <w:bookmarkEnd w:id="6"/>
    </w:p>
    <w:p>
      <w:hyperlink r:id="rId8" w:history="1">
        <w:r>
          <w:rPr>
            <w:color w:val="2980b9"/>
            <w:u w:val="single"/>
          </w:rPr>
          <w:t xml:space="preserve">https://www.fullpicture.app/item/b2a64928b277202ae4ccd14752a3e0ad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19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uni-giessen.de/article/10.1007/s00103-014-2030-4" TargetMode="External"/><Relationship Id="rId8" Type="http://schemas.openxmlformats.org/officeDocument/2006/relationships/hyperlink" Target="https://www.fullpicture.app/item/b2a64928b277202ae4ccd14752a3e0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2024-01-11T19:49:13+01:00</dcterms:created>
  <dcterms:modified xsi:type="dcterms:W3CDTF">2024-01-11T19:49:13+01:00</dcterms:modified>
</cp:coreProperties>
</file>

<file path=docProps/custom.xml><?xml version="1.0" encoding="utf-8"?>
<Properties xmlns="http://schemas.openxmlformats.org/officeDocument/2006/custom-properties" xmlns:vt="http://schemas.openxmlformats.org/officeDocument/2006/docPropsVTypes"/>
</file>