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Product Carbon Footprint Protocols: Case Study on Medium-Density Fiberboard in China - PMC</w:t>
      </w:r>
      <w:br/>
      <w:hyperlink r:id="rId7" w:history="1">
        <w:r>
          <w:rPr>
            <w:color w:val="2980b9"/>
            <w:u w:val="single"/>
          </w:rPr>
          <w:t xml:space="preserve">https://www.ncbi.nlm.nih.gov/pmc/articles/PMC6211079/</w:t>
        </w:r>
      </w:hyperlink>
    </w:p>
    <w:p>
      <w:pPr>
        <w:pStyle w:val="Heading1"/>
      </w:pPr>
      <w:bookmarkStart w:id="2" w:name="_Toc2"/>
      <w:r>
        <w:t>Article summary:</w:t>
      </w:r>
      <w:bookmarkEnd w:id="2"/>
    </w:p>
    <w:p>
      <w:pPr>
        <w:jc w:val="both"/>
      </w:pPr>
      <w:r>
        <w:rPr/>
        <w:t xml:space="preserve">1. This article compares three different protocols for calculating the carbon footprint of medium-density fiberboard (MDF) in China: PAS 2050, GHG Protocol, and ISO 14067.</w:t>
      </w:r>
    </w:p>
    <w:p>
      <w:pPr>
        <w:jc w:val="both"/>
      </w:pPr>
      <w:r>
        <w:rPr/>
        <w:t xml:space="preserve">2. The study found that the different criteria used in each protocol led to different carbon footprint values for MDF, with PAS 2050 resulting in the lowest value and ISO 14067 resulting in the highest value.</w:t>
      </w:r>
    </w:p>
    <w:p>
      <w:pPr>
        <w:jc w:val="both"/>
      </w:pPr>
      <w:r>
        <w:rPr/>
        <w:t xml:space="preserve">3. The article recommends using PAS 2050 as the preferred protocol for assessing the carbon footprint of MDF, and also suggests that landfill may be a preferable end-of-life disposal option from a greenhouse gas standpoint.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"Comparison of Product Carbon Footprint Protocols: Case Study on Medium-Density Fiberboard in China" provides a comprehensive analysis of three different protocols used to calculate the carbon footprint (CF) of medium-density fiberboard (MDF). The study compares the criteria and implications of Publicly Available Specification (PAS) 2050, GHG Protocol Product Standard (GHG Protocol), and ISO 14067 Carbon Footprint of Products (ISO 14067).</w:t>
      </w:r>
    </w:p>
    <w:p>
      <w:pPr>
        <w:jc w:val="both"/>
      </w:pPr>
      <w:r>
        <w:rPr/>
        <w:t xml:space="preserve"/>
      </w:r>
    </w:p>
    <w:p>
      <w:pPr>
        <w:jc w:val="both"/>
      </w:pPr>
      <w:r>
        <w:rPr/>
        <w:t xml:space="preserve">The article begins by highlighting the importance of CF analysis in quantifying greenhouse gas emissions and addressing climate change. It mentions that various methods have been developed for CF calculations, including the three protocols mentioned above. The study aims to compare these protocols and provide insights for calculating GHG emissions in the MDF industry.</w:t>
      </w:r>
    </w:p>
    <w:p>
      <w:pPr>
        <w:jc w:val="both"/>
      </w:pPr>
      <w:r>
        <w:rPr/>
        <w:t xml:space="preserve"/>
      </w:r>
    </w:p>
    <w:p>
      <w:pPr>
        <w:jc w:val="both"/>
      </w:pPr>
      <w:r>
        <w:rPr/>
        <w:t xml:space="preserve">One potential bias in the article is its focus on MDF as a case study without considering other wood-based panels or alternative materials. While MDF is widely used, it may not represent the entire wood-based panel industry. Additionally, the article focuses on China's MDF production without considering global variations in production processes and environmental impacts.</w:t>
      </w:r>
    </w:p>
    <w:p>
      <w:pPr>
        <w:jc w:val="both"/>
      </w:pPr>
      <w:r>
        <w:rPr/>
        <w:t xml:space="preserve"/>
      </w:r>
    </w:p>
    <w:p>
      <w:pPr>
        <w:jc w:val="both"/>
      </w:pPr>
      <w:r>
        <w:rPr/>
        <w:t xml:space="preserve">The article provides a detailed comparison of the three protocols, discussing criteria such as life cycle stage inclusion, cut-off criteria, biogenic carbon treatment, and other requirements. It conducts a cradle-to-gate life cycle assessment (LCA) for MDF using each protocol and compares the CF values obtained. The results show significant differences depending on the protocol used.</w:t>
      </w:r>
    </w:p>
    <w:p>
      <w:pPr>
        <w:jc w:val="both"/>
      </w:pPr>
      <w:r>
        <w:rPr/>
        <w:t xml:space="preserve"/>
      </w:r>
    </w:p>
    <w:p>
      <w:pPr>
        <w:jc w:val="both"/>
      </w:pPr>
      <w:r>
        <w:rPr/>
        <w:t xml:space="preserve">However, one limitation of the study is that it only considers end-of-life scenarios for landfill and incineration without exploring other disposal options such as recycling or composting. This narrow focus limits the comprehensiveness of the analysis and may overlook potential opportunities for reducing GHG emissions through alternative waste management strategies.</w:t>
      </w:r>
    </w:p>
    <w:p>
      <w:pPr>
        <w:jc w:val="both"/>
      </w:pPr>
      <w:r>
        <w:rPr/>
        <w:t xml:space="preserve"/>
      </w:r>
    </w:p>
    <w:p>
      <w:pPr>
        <w:jc w:val="both"/>
      </w:pPr>
      <w:r>
        <w:rPr/>
        <w:t xml:space="preserve">Another potential bias in the article is its recommendation of PAS 2050 as preferentially recommended for assessing CF in MDF. While this recommendation may be based on the specific case study conducted, it does not consider the strengths and limitations of each protocol or potential variations in different industries or regions. A more balanced analysis would have provided a comprehensive evaluation of all three protocols.</w:t>
      </w:r>
    </w:p>
    <w:p>
      <w:pPr>
        <w:jc w:val="both"/>
      </w:pPr>
      <w:r>
        <w:rPr/>
        <w:t xml:space="preserve"/>
      </w:r>
    </w:p>
    <w:p>
      <w:pPr>
        <w:jc w:val="both"/>
      </w:pPr>
      <w:r>
        <w:rPr/>
        <w:t xml:space="preserve">The article also lacks a discussion of potential risks or uncertainties associated with CF calculations. It does not address the limitations of LCA methodologies or the challenges in accurately quantifying GHG emissions throughout a product's life cycle. This omission undermines the credibility of the study and its recommendations.</w:t>
      </w:r>
    </w:p>
    <w:p>
      <w:pPr>
        <w:jc w:val="both"/>
      </w:pPr>
      <w:r>
        <w:rPr/>
        <w:t xml:space="preserve"/>
      </w:r>
    </w:p>
    <w:p>
      <w:pPr>
        <w:jc w:val="both"/>
      </w:pPr>
      <w:r>
        <w:rPr/>
        <w:t xml:space="preserve">Overall, while the article provides valuable insights into CF protocols and their implications for MDF production, it has several biases and limitations that should be considered. The narrow focus on MDF as a case study, limited consideration of disposal options, biased recommendation of PAS 2050, and lack of discussion on risks and uncertainties undermine the objectivity and comprehensiveness of the analysis.</w:t>
      </w:r>
    </w:p>
    <w:p>
      <w:pPr>
        <w:pStyle w:val="Heading1"/>
      </w:pPr>
      <w:bookmarkStart w:id="5" w:name="_Toc5"/>
      <w:r>
        <w:t>Topics for further research:</w:t>
      </w:r>
      <w:bookmarkEnd w:id="5"/>
    </w:p>
    <w:p>
      <w:pPr>
        <w:spacing w:after="0"/>
        <w:numPr>
          <w:ilvl w:val="0"/>
          <w:numId w:val="2"/>
        </w:numPr>
      </w:pPr>
      <w:r>
        <w:rPr/>
        <w:t xml:space="preserve">Alternative wood-based panels and their carbon footprint analysis
</w:t>
      </w:r>
    </w:p>
    <w:p>
      <w:pPr>
        <w:spacing w:after="0"/>
        <w:numPr>
          <w:ilvl w:val="0"/>
          <w:numId w:val="2"/>
        </w:numPr>
      </w:pPr>
      <w:r>
        <w:rPr/>
        <w:t xml:space="preserve">Global variations in production processes and environmental impacts of wood-based panels
</w:t>
      </w:r>
    </w:p>
    <w:p>
      <w:pPr>
        <w:spacing w:after="0"/>
        <w:numPr>
          <w:ilvl w:val="0"/>
          <w:numId w:val="2"/>
        </w:numPr>
      </w:pPr>
      <w:r>
        <w:rPr/>
        <w:t xml:space="preserve">Recycling and composting options for wood-based panel waste management
</w:t>
      </w:r>
    </w:p>
    <w:p>
      <w:pPr>
        <w:spacing w:after="0"/>
        <w:numPr>
          <w:ilvl w:val="0"/>
          <w:numId w:val="2"/>
        </w:numPr>
      </w:pPr>
      <w:r>
        <w:rPr/>
        <w:t xml:space="preserve">Strengths and limitations of GHG Protocol and ISO 14067 for carbon footprint assessment
</w:t>
      </w:r>
    </w:p>
    <w:p>
      <w:pPr>
        <w:spacing w:after="0"/>
        <w:numPr>
          <w:ilvl w:val="0"/>
          <w:numId w:val="2"/>
        </w:numPr>
      </w:pPr>
      <w:r>
        <w:rPr/>
        <w:t xml:space="preserve">Risks and uncertainties in carbon footprint calculations for medium-density fiberboard
</w:t>
      </w:r>
    </w:p>
    <w:p>
      <w:pPr>
        <w:numPr>
          <w:ilvl w:val="0"/>
          <w:numId w:val="2"/>
        </w:numPr>
      </w:pPr>
      <w:r>
        <w:rPr/>
        <w:t xml:space="preserve">Comparative analysis of carbon footprint protocols in industries other than MDF production</w:t>
      </w:r>
    </w:p>
    <w:p>
      <w:pPr>
        <w:pStyle w:val="Heading1"/>
      </w:pPr>
      <w:bookmarkStart w:id="6" w:name="_Toc6"/>
      <w:r>
        <w:t>Report location:</w:t>
      </w:r>
      <w:bookmarkEnd w:id="6"/>
    </w:p>
    <w:p>
      <w:hyperlink r:id="rId8" w:history="1">
        <w:r>
          <w:rPr>
            <w:color w:val="2980b9"/>
            <w:u w:val="single"/>
          </w:rPr>
          <w:t xml:space="preserve">https://www.fullpicture.app/item/b0dc50c4ffb53ab0a13ec9e669480708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C98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211079/" TargetMode="External"/><Relationship Id="rId8" Type="http://schemas.openxmlformats.org/officeDocument/2006/relationships/hyperlink" Target="https://www.fullpicture.app/item/b0dc50c4ffb53ab0a13ec9e6694807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2024-01-04T19:22:08+01:00</dcterms:created>
  <dcterms:modified xsi:type="dcterms:W3CDTF">2024-01-04T19:22:08+01:00</dcterms:modified>
</cp:coreProperties>
</file>

<file path=docProps/custom.xml><?xml version="1.0" encoding="utf-8"?>
<Properties xmlns="http://schemas.openxmlformats.org/officeDocument/2006/custom-properties" xmlns:vt="http://schemas.openxmlformats.org/officeDocument/2006/docPropsVTypes"/>
</file>