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Conformational biosensors reveal adrenoceptor signalling from endosomes - PMC</w:t>
      </w:r>
      <w:br/>
      <w:hyperlink r:id="rId7" w:history="1">
        <w:r>
          <w:rPr>
            <w:color w:val="2980b9"/>
            <w:u w:val="single"/>
          </w:rPr>
          <w:t xml:space="preserve">https://www.ncbi.nlm.nih.gov/pmc/articles/PMC3835555/</w:t>
        </w:r>
      </w:hyperlink>
    </w:p>
    <w:p>
      <w:pPr>
        <w:pStyle w:val="Heading1"/>
      </w:pPr>
      <w:bookmarkStart w:id="2" w:name="_Toc2"/>
      <w:r>
        <w:t>Article summary:</w:t>
      </w:r>
      <w:bookmarkEnd w:id="2"/>
    </w:p>
    <w:p>
      <w:pPr>
        <w:jc w:val="both"/>
      </w:pPr>
      <w:r>
        <w:rPr/>
        <w:t xml:space="preserve">1. 传统观点认为，G蛋白偶联受体（GPCR）的信号转导仅限于细胞膜表面，但新的研究发现内化的GPCR也可以在内质网中发挥作用。</w:t>
      </w:r>
    </w:p>
    <w:p>
      <w:pPr>
        <w:jc w:val="both"/>
      </w:pPr>
      <w:r>
        <w:rPr/>
        <w:t xml:space="preserve">2. 研究使用了特定构象的单域抗体来直接探测β2-肾上腺素受体（β2-AR）和其配体G蛋白Gs在活体哺乳动物细胞中的激活情况。</w:t>
      </w:r>
    </w:p>
    <w:p>
      <w:pPr>
        <w:jc w:val="both"/>
      </w:pPr>
      <w:r>
        <w:rPr/>
        <w:t xml:space="preserve">3. 结果显示，肾上腺素激动剂不仅在细胞膜表面促进受体和G蛋白的激活，还在早期内质网膜中发挥作用，并且内化的受体在几分钟后对整个细胞环磷酸腺苷反应起到贡献。这些发现直接支持了从内质网和细胞膜进行典型GPCR信号转导的假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这篇文章的标题是“Conformational biosensors reveal adrenoceptor signalling from endosomes - PMC”。从标题来看，文章似乎要介绍一种新的生物传感器技术，可以揭示内质网体中的肾上腺素受体信号传导。然而，由于只有标题，并不能提供足够的信息来评估文章的内容和观点。</w:t>
      </w:r>
    </w:p>
    <w:p>
      <w:pPr>
        <w:jc w:val="both"/>
      </w:pPr>
      <w:r>
        <w:rPr/>
        <w:t xml:space="preserve"/>
      </w:r>
    </w:p>
    <w:p>
      <w:pPr>
        <w:jc w:val="both"/>
      </w:pPr>
      <w:r>
        <w:rPr/>
        <w:t xml:space="preserve">在文章的摘要部分，作者提到了一个长期以来被广泛接受的分子药理学原则，即G蛋白偶联受体（GPCR）通过与异源三聚体G蛋白耦合介导的信号转导仅限于细胞质膜。然而，作者指出这个观点是基于具有有限或非亚细胞分辨率的分析方法所支持的。他们进一步提出了其他假设，包括GPCR内化后通过非G蛋白依赖机制进行信号传导或GPCR激活引发持久性G蛋白活化等。然而，这些假设目前还没有直接证据支持。</w:t>
      </w:r>
    </w:p>
    <w:p>
      <w:pPr>
        <w:jc w:val="both"/>
      </w:pPr>
      <w:r>
        <w:rPr/>
        <w:t xml:space="preserve"/>
      </w:r>
    </w:p>
    <w:p>
      <w:pPr>
        <w:jc w:val="both"/>
      </w:pPr>
      <w:r>
        <w:rPr/>
        <w:t xml:space="preserve">在方法部分，作者描述了他们使用特异性单域抗体（纳米抗体）来直接探测β2-肾上腺素受体及其配体Gs在活体哺乳动物细胞中的激活情况。他们发现，肾上腺素受体和Gs在细胞质膜以及早期内质网膜中均被激活，并且内化的受体在激动剂应用后几分钟内对整体细胞环磷酸腺苷（cAMP）反应起到了作用。</w:t>
      </w:r>
    </w:p>
    <w:p>
      <w:pPr>
        <w:jc w:val="both"/>
      </w:pPr>
      <w:r>
        <w:rPr/>
        <w:t xml:space="preserve"/>
      </w:r>
    </w:p>
    <w:p>
      <w:pPr>
        <w:jc w:val="both"/>
      </w:pPr>
      <w:r>
        <w:rPr/>
        <w:t xml:space="preserve">然而，这篇文章存在一些批判性问题。首先，作者没有提供足够的证据来支持他们所提出的假设。虽然他们使用了一种新颖的生物传感器技术来直接探测GPCR的激活状态，但他们并没有提供其他实验证据来支持这个观点。其次，文章没有充分考虑到其他可能解释结果的因素。例如，内质网中是否存在其他与GPCR信号传导相关的分子或机制，并且它们是否参与了这个过程。</w:t>
      </w:r>
    </w:p>
    <w:p>
      <w:pPr>
        <w:jc w:val="both"/>
      </w:pPr>
      <w:r>
        <w:rPr/>
        <w:t xml:space="preserve"/>
      </w:r>
    </w:p>
    <w:p>
      <w:pPr>
        <w:jc w:val="both"/>
      </w:pPr>
      <w:r>
        <w:rPr/>
        <w:t xml:space="preserve">此外，文章也没有探讨可能存在的反驳观点或风险。例如，如果GPCR信号传导确实发生在内质网中，那么这是否会对细胞功能产生不良影响？作者没有对这些问题进行深入讨论。</w:t>
      </w:r>
    </w:p>
    <w:p>
      <w:pPr>
        <w:jc w:val="both"/>
      </w:pPr>
      <w:r>
        <w:rPr/>
        <w:t xml:space="preserve"/>
      </w:r>
    </w:p>
    <w:p>
      <w:pPr>
        <w:jc w:val="both"/>
      </w:pPr>
      <w:r>
        <w:rPr/>
        <w:t xml:space="preserve">总之，尽管这篇文章提出了一个有趣的观点，并使用了一种新颖的技术来支持这个观点，但它仍然存在一些批判性问题。作者没有提供足够的证据来支持他们的假设，并且没有充分考虑到其他可能解释结果的因素。此外，文章也没有探讨可能存在的反驳观点或风险。因此，读者应该对这篇文章中提出的观点保持谨慎，并等待更多实验证据来支持或反驳这个观点。</w:t>
      </w:r>
    </w:p>
    <w:p>
      <w:pPr>
        <w:pStyle w:val="Heading1"/>
      </w:pPr>
      <w:bookmarkStart w:id="5" w:name="_Toc5"/>
      <w:r>
        <w:t>Topics for further research:</w:t>
      </w:r>
      <w:bookmarkEnd w:id="5"/>
    </w:p>
    <w:p>
      <w:pPr>
        <w:spacing w:after="0"/>
        <w:numPr>
          <w:ilvl w:val="0"/>
          <w:numId w:val="2"/>
        </w:numPr>
      </w:pPr>
      <w:r>
        <w:rPr/>
        <w:t xml:space="preserve">GPCR signaling from endosomes
</w:t>
      </w:r>
    </w:p>
    <w:p>
      <w:pPr>
        <w:spacing w:after="0"/>
        <w:numPr>
          <w:ilvl w:val="0"/>
          <w:numId w:val="2"/>
        </w:numPr>
      </w:pPr>
      <w:r>
        <w:rPr/>
        <w:t xml:space="preserve">Conformational biosensors in cell signaling
</w:t>
      </w:r>
    </w:p>
    <w:p>
      <w:pPr>
        <w:spacing w:after="0"/>
        <w:numPr>
          <w:ilvl w:val="0"/>
          <w:numId w:val="2"/>
        </w:numPr>
      </w:pPr>
      <w:r>
        <w:rPr/>
        <w:t xml:space="preserve">Activation of adrenoceptors in endosomes
</w:t>
      </w:r>
    </w:p>
    <w:p>
      <w:pPr>
        <w:spacing w:after="0"/>
        <w:numPr>
          <w:ilvl w:val="0"/>
          <w:numId w:val="2"/>
        </w:numPr>
      </w:pPr>
      <w:r>
        <w:rPr/>
        <w:t xml:space="preserve">Role of Gs in endosomal signaling
</w:t>
      </w:r>
    </w:p>
    <w:p>
      <w:pPr>
        <w:spacing w:after="0"/>
        <w:numPr>
          <w:ilvl w:val="0"/>
          <w:numId w:val="2"/>
        </w:numPr>
      </w:pPr>
      <w:r>
        <w:rPr/>
        <w:t xml:space="preserve">Novel nanobody-based detection of GPCR activation
</w:t>
      </w:r>
    </w:p>
    <w:p>
      <w:pPr>
        <w:numPr>
          <w:ilvl w:val="0"/>
          <w:numId w:val="2"/>
        </w:numPr>
      </w:pPr>
      <w:r>
        <w:rPr/>
        <w:t xml:space="preserve">Implications of endosomal GPCR signaling on cellular function</w:t>
      </w:r>
    </w:p>
    <w:p>
      <w:pPr>
        <w:pStyle w:val="Heading1"/>
      </w:pPr>
      <w:bookmarkStart w:id="6" w:name="_Toc6"/>
      <w:r>
        <w:t>Report location:</w:t>
      </w:r>
      <w:bookmarkEnd w:id="6"/>
    </w:p>
    <w:p>
      <w:hyperlink r:id="rId8" w:history="1">
        <w:r>
          <w:rPr>
            <w:color w:val="2980b9"/>
            <w:u w:val="single"/>
          </w:rPr>
          <w:t xml:space="preserve">https://www.fullpicture.app/item/af5dba6e3af1676475ef3596f872d8cc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351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835555/" TargetMode="External"/><Relationship Id="rId8" Type="http://schemas.openxmlformats.org/officeDocument/2006/relationships/hyperlink" Target="https://www.fullpicture.app/item/af5dba6e3af1676475ef3596f872d8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2024-03-31T13:48:15+02:00</dcterms:created>
  <dcterms:modified xsi:type="dcterms:W3CDTF">2024-03-31T13:48:15+02:00</dcterms:modified>
</cp:coreProperties>
</file>

<file path=docProps/custom.xml><?xml version="1.0" encoding="utf-8"?>
<Properties xmlns="http://schemas.openxmlformats.org/officeDocument/2006/custom-properties" xmlns:vt="http://schemas.openxmlformats.org/officeDocument/2006/docPropsVTypes"/>
</file>