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Versatile genetic assembly system (VEGAS) to assemble pathways for expression in S. cerevisiae | Nucleic Acids Research | Oxford Academic</w:t>
      </w:r>
      <w:br/>
      <w:hyperlink r:id="rId7" w:history="1">
        <w:r>
          <w:rPr>
            <w:color w:val="2980b9"/>
            <w:u w:val="single"/>
          </w:rPr>
          <w:t xml:space="preserve">https://academic.oup.com/nar/article/43/13/6620/2414202</w:t>
        </w:r>
      </w:hyperlink>
    </w:p>
    <w:p>
      <w:pPr>
        <w:pStyle w:val="Heading1"/>
      </w:pPr>
      <w:bookmarkStart w:id="2" w:name="_Toc2"/>
      <w:r>
        <w:t>Article summary:</w:t>
      </w:r>
      <w:bookmarkEnd w:id="2"/>
    </w:p>
    <w:p>
      <w:pPr>
        <w:jc w:val="both"/>
      </w:pPr>
      <w:r>
        <w:rPr/>
        <w:t xml:space="preserve">1. VEGAS (Versatile genetic assembly system) is a method for assembling genetic pathways for expression in Saccharomyces cerevisiae, which exploits the native capacity of S. cerevisiae to perform homologous recombination and efficiently join sequences with terminal homology.</w:t>
      </w:r>
    </w:p>
    <w:p>
      <w:pPr>
        <w:jc w:val="both"/>
      </w:pPr>
      <w:r>
        <w:rPr/>
        <w:t xml:space="preserve">2. The VEGAS workflow uses "VEGAS adapter" (VA) sequences to encode terminal homology between adjacent pathway genes and the assembly vector, which are orthogonal in sequence with respect to the yeast genome. Prior to pathway assembly by VEGAS in S. cerevisiae, each gene is assigned an appropriate pair of VAs and assembled using yeast Golden Gate (yGG).</w:t>
      </w:r>
    </w:p>
    <w:p>
      <w:pPr>
        <w:jc w:val="both"/>
      </w:pPr>
      <w:r>
        <w:rPr/>
        <w:t xml:space="preserve">3. The VEGAS methodology has been demonstrated to successfully assemble four-, five- and six-gene pathways for synthesizing β-carotene and violacein in S. cerevisiae, as well as having the capacity for combinatorial assembly.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介绍了一种新的基因组装系统，称为VEGAS，用于在酿酒酵母中组装代谢途径。作者声称该方法利用了酿酒酵母天然的同源重组能力和高效连接具有末端同源性的序列的能力。在VEGAS工作流程中，相邻途径基因和组装载体之间的末端同源性由“VEGAS适配器”（VA）序列编码，这些序列与酵母基因组相对应。在使用VEGAS在酿酒酵母中进行途径组装之前，每个基因都被分配一个合适的VA对，并使用先前描述过的技术称为酵母Golden Gate（yGG）进行组装。</w:t>
      </w:r>
    </w:p>
    <w:p>
      <w:pPr>
        <w:jc w:val="both"/>
      </w:pPr>
      <w:r>
        <w:rPr/>
        <w:t xml:space="preserve"/>
      </w:r>
    </w:p>
    <w:p>
      <w:pPr>
        <w:jc w:val="both"/>
      </w:pPr>
      <w:r>
        <w:rPr/>
        <w:t xml:space="preserve">该文章提到了S. cerevisiae是一种受欢迎的真核微生物，可用于代谢工程，因为它具有工业强度、安全性和高度易于遗传操作等特点。然而，在文章中没有提及可能存在的风险或潜在问题。</w:t>
      </w:r>
    </w:p>
    <w:p>
      <w:pPr>
        <w:jc w:val="both"/>
      </w:pPr>
      <w:r>
        <w:rPr/>
        <w:t xml:space="preserve"/>
      </w:r>
    </w:p>
    <w:p>
      <w:pPr>
        <w:jc w:val="both"/>
      </w:pPr>
      <w:r>
        <w:rPr/>
        <w:t xml:space="preserve">此外，该文章没有探讨其他可能存在的DNA组装策略或方法，并且似乎偏袒Golden Gate assembly方法。虽然Golden Gate assembly方法可以实现方向性和无缝连接部件，但其依赖于特定的限制酶和其相应的识别序列，这可能会限制其适用性。</w:t>
      </w:r>
    </w:p>
    <w:p>
      <w:pPr>
        <w:jc w:val="both"/>
      </w:pPr>
      <w:r>
        <w:rPr/>
        <w:t xml:space="preserve"/>
      </w:r>
    </w:p>
    <w:p>
      <w:pPr>
        <w:jc w:val="both"/>
      </w:pPr>
      <w:r>
        <w:rPr/>
        <w:t xml:space="preserve">此外，该文章没有提供足够的证据来支持作者所提出的主张。虽然作者声称已经成功地组装了β-胡萝卜素和紫色素生物合成途径，但并没有提供详细的实验结果或数据来支持这些声明。</w:t>
      </w:r>
    </w:p>
    <w:p>
      <w:pPr>
        <w:jc w:val="both"/>
      </w:pPr>
      <w:r>
        <w:rPr/>
        <w:t xml:space="preserve"/>
      </w:r>
    </w:p>
    <w:p>
      <w:pPr>
        <w:jc w:val="both"/>
      </w:pPr>
      <w:r>
        <w:rPr/>
        <w:t xml:space="preserve">总之，该文章提供了一种新的基因组装系统，并介绍了在酿酒酵母中组装代谢途径的方法。然而，它可能存在偏见、片面报道、缺失考虑点和缺乏证据等问题。</w:t>
      </w:r>
    </w:p>
    <w:p>
      <w:pPr>
        <w:pStyle w:val="Heading1"/>
      </w:pPr>
      <w:bookmarkStart w:id="5" w:name="_Toc5"/>
      <w:r>
        <w:t>Topics for further research:</w:t>
      </w:r>
      <w:bookmarkEnd w:id="5"/>
    </w:p>
    <w:p>
      <w:pPr>
        <w:spacing w:after="0"/>
        <w:numPr>
          <w:ilvl w:val="0"/>
          <w:numId w:val="2"/>
        </w:numPr>
      </w:pPr>
      <w:r>
        <w:rPr/>
        <w:t xml:space="preserve">Potential risks and concerns
</w:t>
      </w:r>
    </w:p>
    <w:p>
      <w:pPr>
        <w:spacing w:after="0"/>
        <w:numPr>
          <w:ilvl w:val="0"/>
          <w:numId w:val="2"/>
        </w:numPr>
      </w:pPr>
      <w:r>
        <w:rPr/>
        <w:t xml:space="preserve">Alternative DNA assembly strategies
</w:t>
      </w:r>
    </w:p>
    <w:p>
      <w:pPr>
        <w:spacing w:after="0"/>
        <w:numPr>
          <w:ilvl w:val="0"/>
          <w:numId w:val="2"/>
        </w:numPr>
      </w:pPr>
      <w:r>
        <w:rPr/>
        <w:t xml:space="preserve">Limitations of Golden Gate assembly method
</w:t>
      </w:r>
    </w:p>
    <w:p>
      <w:pPr>
        <w:spacing w:after="0"/>
        <w:numPr>
          <w:ilvl w:val="0"/>
          <w:numId w:val="2"/>
        </w:numPr>
      </w:pPr>
      <w:r>
        <w:rPr/>
        <w:t xml:space="preserve">Lack of evidence to support claims
</w:t>
      </w:r>
    </w:p>
    <w:p>
      <w:pPr>
        <w:spacing w:after="0"/>
        <w:numPr>
          <w:ilvl w:val="0"/>
          <w:numId w:val="2"/>
        </w:numPr>
      </w:pPr>
      <w:r>
        <w:rPr/>
        <w:t xml:space="preserve">Biases and one-sided reporting
</w:t>
      </w:r>
    </w:p>
    <w:p>
      <w:pPr>
        <w:numPr>
          <w:ilvl w:val="0"/>
          <w:numId w:val="2"/>
        </w:numPr>
      </w:pPr>
      <w:r>
        <w:rPr/>
        <w:t xml:space="preserve">Missing considerations</w:t>
      </w:r>
    </w:p>
    <w:p>
      <w:pPr>
        <w:pStyle w:val="Heading1"/>
      </w:pPr>
      <w:bookmarkStart w:id="6" w:name="_Toc6"/>
      <w:r>
        <w:t>Report location:</w:t>
      </w:r>
      <w:bookmarkEnd w:id="6"/>
    </w:p>
    <w:p>
      <w:hyperlink r:id="rId8" w:history="1">
        <w:r>
          <w:rPr>
            <w:color w:val="2980b9"/>
            <w:u w:val="single"/>
          </w:rPr>
          <w:t xml:space="preserve">https://www.fullpicture.app/item/adf485b9804a69685212462565345287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C8E2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nar/article/43/13/6620/2414202" TargetMode="External"/><Relationship Id="rId8" Type="http://schemas.openxmlformats.org/officeDocument/2006/relationships/hyperlink" Target="https://www.fullpicture.app/item/adf485b9804a6968521246256534528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2024-01-11T15:56:02+01:00</dcterms:created>
  <dcterms:modified xsi:type="dcterms:W3CDTF">2024-01-11T15:56:02+01:00</dcterms:modified>
</cp:coreProperties>
</file>

<file path=docProps/custom.xml><?xml version="1.0" encoding="utf-8"?>
<Properties xmlns="http://schemas.openxmlformats.org/officeDocument/2006/custom-properties" xmlns:vt="http://schemas.openxmlformats.org/officeDocument/2006/docPropsVTypes"/>
</file>