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Computational integration of nanoscale physical biomarkers and cognitive assessments for Alzheimer’s disease diagnosis and prognosis | Science Advances</w:t>
      </w:r>
      <w:br/>
      <w:hyperlink r:id="rId7" w:history="1">
        <w:r>
          <w:rPr>
            <w:color w:val="2980b9"/>
            <w:u w:val="single"/>
          </w:rPr>
          <w:t xml:space="preserve">https://www.science.org/doi/10.1126/sciadv.1700669</w:t>
        </w:r>
      </w:hyperlink>
    </w:p>
    <w:p>
      <w:pPr>
        <w:pStyle w:val="Heading1"/>
      </w:pPr>
      <w:bookmarkStart w:id="2" w:name="_Toc2"/>
      <w:r>
        <w:t>Article summary:</w:t>
      </w:r>
      <w:bookmarkEnd w:id="2"/>
    </w:p>
    <w:p>
      <w:pPr>
        <w:jc w:val="both"/>
      </w:pPr>
      <w:r>
        <w:rPr/>
        <w:t xml:space="preserve">1. 本文介绍了一种计算集成的方法，将纳米尺度的生物标志物和认知评估相结合，用于阿尔茨海默病的诊断和预后。</w:t>
      </w:r>
    </w:p>
    <w:p>
      <w:pPr>
        <w:jc w:val="both"/>
      </w:pPr>
      <w:r>
        <w:rPr/>
        <w:t xml:space="preserve">2. 研究发现，在阿尔茨海默病的发展过程中，患者脑脊液和血液中蛋白质聚集的纳米尺度物理特性发生改变，并可作为一种新型的“物理标志物”。</w:t>
      </w:r>
    </w:p>
    <w:p>
      <w:pPr>
        <w:jc w:val="both"/>
      </w:pPr>
      <w:r>
        <w:rPr/>
        <w:t xml:space="preserve">3. 利用计算算法整合这些生物标志物和认知评估，可以客观地诊断阿尔茨海默病并预测其进展。同时，通过监测患者随时间变化的物理标志物和认知评估分数，可以实时更新疾病进展情况。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对于这篇文章的详细批判性分析，需要先了解文章的内容和结构。该文章的标题是“Computational integration of nanoscale physical biomarkers and cognitive assessments for Alzheimer’s disease diagnosis and prognosis”，主要介绍了一种将纳米尺度的物理生物标志物和认知评估相结合的计算方法，用于阿尔茨海默病的诊断和预测。</w:t>
      </w:r>
    </w:p>
    <w:p>
      <w:pPr>
        <w:jc w:val="both"/>
      </w:pPr>
      <w:r>
        <w:rPr/>
        <w:t xml:space="preserve"/>
      </w:r>
    </w:p>
    <w:p>
      <w:pPr>
        <w:jc w:val="both"/>
      </w:pPr>
      <w:r>
        <w:rPr/>
        <w:t xml:space="preserve">在文章中，作者指出目前阿尔茨海默病的诊断主要依赖于评估患者是否表现出相关症状和体征，但这种方法可能受到测量结果分析方式的影响。为了克服这些限制，作者提出使用计算算法来整合多学科输入，从纳米尺度生物标志物到认知评估，并结合生化和物理变化来无偏地诊断阿尔茨海默病并预测其进展。</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偏见来源：文章没有明确提及作者或团队与制药公司或其他相关利益方之间的任何潜在关系。如果存在利益冲突或资金支持，可能会导致偏见或片面报道。</w:t>
      </w:r>
    </w:p>
    <w:p>
      <w:pPr>
        <w:jc w:val="both"/>
      </w:pPr>
      <w:r>
        <w:rPr/>
        <w:t xml:space="preserve"/>
      </w:r>
    </w:p>
    <w:p>
      <w:pPr>
        <w:jc w:val="both"/>
      </w:pPr>
      <w:r>
        <w:rPr/>
        <w:t xml:space="preserve">2. 片面报道：文章只关注了纳米尺度的物理生物标志物和认知评估，而忽略了其他可能的生物标志物或影像学检查等。这种片面报道可能导致对阿尔茨海默病诊断和预测的全面性理解不足。</w:t>
      </w:r>
    </w:p>
    <w:p>
      <w:pPr>
        <w:jc w:val="both"/>
      </w:pPr>
      <w:r>
        <w:rPr/>
        <w:t xml:space="preserve"/>
      </w:r>
    </w:p>
    <w:p>
      <w:pPr>
        <w:jc w:val="both"/>
      </w:pPr>
      <w:r>
        <w:rPr/>
        <w:t xml:space="preserve">3. 无根据的主张：文章声称纳米尺度蛋白质聚集物的物理特性在阿尔茨海默病发病机制中发生改变，并可以用作新型的“物理生物标志物”。然而，文章没有提供足够的证据来支持这一主张，例如相关实验结果或统计数据。</w:t>
      </w:r>
    </w:p>
    <w:p>
      <w:pPr>
        <w:jc w:val="both"/>
      </w:pPr>
      <w:r>
        <w:rPr/>
        <w:t xml:space="preserve"/>
      </w:r>
    </w:p>
    <w:p>
      <w:pPr>
        <w:jc w:val="both"/>
      </w:pPr>
      <w:r>
        <w:rPr/>
        <w:t xml:space="preserve">4. 缺失的考虑点：文章没有讨论其他可能影响阿尔茨海默病诊断和预测准确性的因素，如年龄、遗传因素、环境因素等。这些因素可能会对计算算法的有效性产生重要影响。</w:t>
      </w:r>
    </w:p>
    <w:p>
      <w:pPr>
        <w:jc w:val="both"/>
      </w:pPr>
      <w:r>
        <w:rPr/>
        <w:t xml:space="preserve"/>
      </w:r>
    </w:p>
    <w:p>
      <w:pPr>
        <w:jc w:val="both"/>
      </w:pPr>
      <w:r>
        <w:rPr/>
        <w:t xml:space="preserve">5. 所提出主张的缺失证据：文章提到使用计算算法整合纳米尺度生物标志物和认知评估可以无偏地诊断阿尔茨海默病并预测其进展。然而，文章没有提供具体证据来支持这一主张，如相关研究结果或案例分析。</w:t>
      </w:r>
    </w:p>
    <w:p>
      <w:pPr>
        <w:jc w:val="both"/>
      </w:pPr>
      <w:r>
        <w:rPr/>
        <w:t xml:space="preserve"/>
      </w:r>
    </w:p>
    <w:p>
      <w:pPr>
        <w:jc w:val="both"/>
      </w:pPr>
      <w:r>
        <w:rPr/>
        <w:t xml:space="preserve">6. 未探索的反驳：文章没有探讨可能存在的反驳观点或争议，如其他研究对纳米尺度生物标志物和认知评估的有效性提出的质疑。</w:t>
      </w:r>
    </w:p>
    <w:p>
      <w:pPr>
        <w:jc w:val="both"/>
      </w:pPr>
      <w:r>
        <w:rPr/>
        <w:t xml:space="preserve"/>
      </w:r>
    </w:p>
    <w:p>
      <w:pPr>
        <w:jc w:val="both"/>
      </w:pPr>
      <w:r>
        <w:rPr/>
        <w:t xml:space="preserve">7. 宣传内容：文章中使用了一些宣传性语言，如“新型的”、“无偏地”等，这可能会给读者留下过于乐观或不准确的印象。</w:t>
      </w:r>
    </w:p>
    <w:p>
      <w:pPr>
        <w:jc w:val="both"/>
      </w:pPr>
      <w:r>
        <w:rPr/>
        <w:t xml:space="preserve"/>
      </w:r>
    </w:p>
    <w:p>
      <w:pPr>
        <w:jc w:val="both"/>
      </w:pPr>
      <w:r>
        <w:rPr/>
        <w:t xml:space="preserve">综上所述，这篇文章在阐述计算方法用于阿尔茨海默病诊断和预测方面提供了一种新的思路，但在论证和呈现方面存在一些问题。需要更多的实证研究和全面考虑才能确定该方法的可行性和准确性。</w:t>
      </w:r>
    </w:p>
    <w:p>
      <w:pPr>
        <w:pStyle w:val="Heading1"/>
      </w:pPr>
      <w:bookmarkStart w:id="5" w:name="_Toc5"/>
      <w:r>
        <w:t>Topics for further research:</w:t>
      </w:r>
      <w:bookmarkEnd w:id="5"/>
    </w:p>
    <w:p>
      <w:pPr>
        <w:spacing w:after="0"/>
        <w:numPr>
          <w:ilvl w:val="0"/>
          <w:numId w:val="2"/>
        </w:numPr>
      </w:pPr>
      <w:r>
        <w:rPr/>
        <w:t xml:space="preserve">作者与利益冲突
</w:t>
      </w:r>
    </w:p>
    <w:p>
      <w:pPr>
        <w:spacing w:after="0"/>
        <w:numPr>
          <w:ilvl w:val="0"/>
          <w:numId w:val="2"/>
        </w:numPr>
      </w:pPr>
      <w:r>
        <w:rPr/>
        <w:t xml:space="preserve">其他可能的生物标志物或影像学检查
</w:t>
      </w:r>
    </w:p>
    <w:p>
      <w:pPr>
        <w:spacing w:after="0"/>
        <w:numPr>
          <w:ilvl w:val="0"/>
          <w:numId w:val="2"/>
        </w:numPr>
      </w:pPr>
      <w:r>
        <w:rPr/>
        <w:t xml:space="preserve">缺乏支持纳米尺度蛋白质聚集物作为物理生物标志物的证据
</w:t>
      </w:r>
    </w:p>
    <w:p>
      <w:pPr>
        <w:spacing w:after="0"/>
        <w:numPr>
          <w:ilvl w:val="0"/>
          <w:numId w:val="2"/>
        </w:numPr>
      </w:pPr>
      <w:r>
        <w:rPr/>
        <w:t xml:space="preserve">未考虑其他可能影响诊断和预测准确性的因素
</w:t>
      </w:r>
    </w:p>
    <w:p>
      <w:pPr>
        <w:spacing w:after="0"/>
        <w:numPr>
          <w:ilvl w:val="0"/>
          <w:numId w:val="2"/>
        </w:numPr>
      </w:pPr>
      <w:r>
        <w:rPr/>
        <w:t xml:space="preserve">缺乏支持计算算法无偏地诊断和预测的证据
</w:t>
      </w:r>
    </w:p>
    <w:p>
      <w:pPr>
        <w:numPr>
          <w:ilvl w:val="0"/>
          <w:numId w:val="2"/>
        </w:numPr>
      </w:pPr>
      <w:r>
        <w:rPr/>
        <w:t xml:space="preserve">未探索可能存在的反驳观点或争议</w:t>
      </w:r>
    </w:p>
    <w:p>
      <w:pPr>
        <w:pStyle w:val="Heading1"/>
      </w:pPr>
      <w:bookmarkStart w:id="6" w:name="_Toc6"/>
      <w:r>
        <w:t>Report location:</w:t>
      </w:r>
      <w:bookmarkEnd w:id="6"/>
    </w:p>
    <w:p>
      <w:hyperlink r:id="rId8" w:history="1">
        <w:r>
          <w:rPr>
            <w:color w:val="2980b9"/>
            <w:u w:val="single"/>
          </w:rPr>
          <w:t xml:space="preserve">https://www.fullpicture.app/item/ace8c347326c9e37621670523c4f23de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99A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1700669" TargetMode="External"/><Relationship Id="rId8" Type="http://schemas.openxmlformats.org/officeDocument/2006/relationships/hyperlink" Target="https://www.fullpicture.app/item/ace8c347326c9e37621670523c4f23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2024-01-13T05:36:05+01:00</dcterms:created>
  <dcterms:modified xsi:type="dcterms:W3CDTF">2024-01-13T05:36:05+01:00</dcterms:modified>
</cp:coreProperties>
</file>

<file path=docProps/custom.xml><?xml version="1.0" encoding="utf-8"?>
<Properties xmlns="http://schemas.openxmlformats.org/officeDocument/2006/custom-properties" xmlns:vt="http://schemas.openxmlformats.org/officeDocument/2006/docPropsVTypes"/>
</file>