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北京市体育局关于印发《2023年北京市体育产业与行业管理工作要点》的通知 - 北京市体育局网站</w:t>
      </w:r>
      <w:br/>
      <w:hyperlink r:id="rId7" w:history="1">
        <w:r>
          <w:rPr>
            <w:color w:val="2980b9"/>
            <w:u w:val="single"/>
          </w:rPr>
          <w:t xml:space="preserve">http://tyj.beijing.gov.cn/bjsports/zfxxgk_/tzgg40/326059787/index.html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加强体育产业的复工和生产能力，通过政策引导、金融服务、重点企业支持和基地建设等多种措施，促进北京市体育产业的高质量发展。</w:t>
      </w:r>
    </w:p>
    <w:p>
      <w:pPr>
        <w:jc w:val="both"/>
      </w:pPr>
      <w:r>
        <w:rPr/>
        <w:t xml:space="preserve">2. 采取多种措施全面推动体育消费升级，包括帮助北京打造国际消费中心城市、举办丰富的体育消费活动、培养时尚的体育消费等。</w:t>
      </w:r>
    </w:p>
    <w:p>
      <w:pPr>
        <w:jc w:val="both"/>
      </w:pPr>
      <w:r>
        <w:rPr/>
        <w:t xml:space="preserve">3. 加快建立综合监管系统，加强对青少年校外体育培训和预付款消费的规范管理。同时，保护消费者和市场主体的合法权益。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作为一篇政府通知，该文章主要介绍了北京市体育局印发的《2023年北京市体育产业与行业管理工作要点》。然而，该文章存在一些潜在的偏见和不足之处。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宣传内容。虽然该文章是一份政府通知，但其内容似乎更像是一份宣传材料。例如，在第二部分中，文章提到了许多关于如何促进体育消费的措施，但并没有提及任何可能的风险或负面影响。此外，在第三部分中，文章强调了加强对体育培训的监管和监督，并提到了“双减”政策，但未说明这些政策可能会对企业造成什么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尽管该文章提到了一些措施来支持小型和中型企业以及创新发展，但它似乎更关注大型企业和项目。例如，在第一部分中，文章提到了鼓励各区制定支持体育产业和促进体育消费的政策，并强调了重点服务公司和组织等大型企业。这可能会导致小型企业被忽视或缺乏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第二部分中，文章强调了推广时尚运动消费，并提出了许多相关措施。然而，在现实生活中，并非所有人都能够承担时尚运动消费所需的高昂成本。因此，在推广时尚运动消费时需要考虑到社会公平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缺失考虑点和证据不足等问题。例如，在第三部分中，文章提到了加强商务、旅游、文化和体育等领域的综合发展，并鼓励开展各种形式的体育消费活动。然而，它未说明如何平衡这些领域之间的利益冲突或确保可持续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北京市体育局印发的《2023年北京市体育产业与行业管理工作要点》，但它可能存在潜在偏见、片面报道、无根据主张、缺失考虑点等问题。因此，在阅读此类政府通知时需要保持警惕，并注意其背后可能存在的意图和目标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小型企业支持
</w:t>
      </w:r>
    </w:p>
    <w:p>
      <w:pPr>
        <w:spacing w:after="0"/>
        <w:numPr>
          <w:ilvl w:val="0"/>
          <w:numId w:val="2"/>
        </w:numPr>
      </w:pPr>
      <w:r>
        <w:rPr/>
        <w:t xml:space="preserve">社会公平性问题
</w:t>
      </w:r>
    </w:p>
    <w:p>
      <w:pPr>
        <w:spacing w:after="0"/>
        <w:numPr>
          <w:ilvl w:val="0"/>
          <w:numId w:val="2"/>
        </w:numPr>
      </w:pPr>
      <w:r>
        <w:rPr/>
        <w:t xml:space="preserve">平衡利益冲突
</w:t>
      </w:r>
    </w:p>
    <w:p>
      <w:pPr>
        <w:spacing w:after="0"/>
        <w:numPr>
          <w:ilvl w:val="0"/>
          <w:numId w:val="2"/>
        </w:numPr>
      </w:pPr>
      <w:r>
        <w:rPr/>
        <w:t xml:space="preserve">可持续发展
</w:t>
      </w:r>
    </w:p>
    <w:p>
      <w:pPr>
        <w:numPr>
          <w:ilvl w:val="0"/>
          <w:numId w:val="2"/>
        </w:numPr>
      </w:pPr>
      <w:r>
        <w:rPr/>
        <w:t xml:space="preserve">意图和目标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https://www.fullpicture.app/item/ace01808932e047084a642748e71deaf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4D8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yj.beijing.gov.cn/bjsports/zfxxgk_/tzgg40/326059787/index.html" TargetMode="External"/><Relationship Id="rId8" Type="http://schemas.openxmlformats.org/officeDocument/2006/relationships/hyperlink" Target="https://www.fullpicture.app/item/ace01808932e047084a642748e71de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2023-12-29T16:20:44+01:00</dcterms:created>
  <dcterms:modified xsi:type="dcterms:W3CDTF">2023-12-29T16:20:44+01:00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