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Predicting future diameter distributions given current stand attributes</w:t>
      </w:r>
      <w:br/>
      <w:hyperlink r:id="rId7" w:history="1">
        <w:r>
          <w:rPr>
            <w:color w:val="2980b9"/>
            <w:u w:val="single"/>
          </w:rPr>
          <w:t xml:space="preserve">https://cdnsciencepub.com/doi/10.1139/cjfr-2021-0216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本研究探讨了四种方法来预测从A1年龄到A2年龄的直径分布。</w:t>
      </w:r>
    </w:p>
    <w:p>
      <w:pPr>
        <w:jc w:val="both"/>
      </w:pPr>
      <w:r>
        <w:rPr/>
        <w:t xml:space="preserve">2. 方法3和方法4在使用Weibull分布进行数值实验时表现更好，能够产生更准确的预测结果。</w:t>
      </w:r>
    </w:p>
    <w:p>
      <w:pPr>
        <w:jc w:val="both"/>
      </w:pPr>
      <w:r>
        <w:rPr/>
        <w:t xml:space="preserve">3. 方法4是一种新颖的方法，将直径分布转换为单个树木列表，并成功地将直径分布、单个树木和整体林分模型联系在一起。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作为一篇学术论文，该文章提供了四种方法来预测林分的直径分布。然而，该文章存在一些潜在的偏见和缺失的考虑点。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首先，该文章没有明确说明其研究对象是哪种类型的森林或树种。这可能会导致结果不适用于其他类型的森林或树种。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其次，该文章只使用了Weibull分布进行数值实验，并未探索其他可能更适合不同类型森林的分布模型。这可能会导致结论具有局限性。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此外，该文章并未探讨如何处理数据缺失或误差对预测结果的影响。这可能会导致结果不够准确或可靠。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最后，该文章并未探讨任何风险因素或负面影响，例如人类活动对森林生态系统的影响。这可能会使读者忽略了环境保护和可持续发展等重要问题。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总之，尽管该文章提供了一些有用的方法来预测林分直径分布，但它也存在一些潜在偏见和缺失考虑点。因此，在阅读和引用该文章时需要谨慎，并应将其作为参考而非决策依据。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Forest type or species
</w:t>
      </w:r>
    </w:p>
    <w:p>
      <w:pPr>
        <w:spacing w:after="0"/>
        <w:numPr>
          <w:ilvl w:val="0"/>
          <w:numId w:val="2"/>
        </w:numPr>
      </w:pPr>
      <w:r>
        <w:rPr/>
        <w:t xml:space="preserve">Alternative distribution models
</w:t>
      </w:r>
    </w:p>
    <w:p>
      <w:pPr>
        <w:spacing w:after="0"/>
        <w:numPr>
          <w:ilvl w:val="0"/>
          <w:numId w:val="2"/>
        </w:numPr>
      </w:pPr>
      <w:r>
        <w:rPr/>
        <w:t xml:space="preserve">Handling missing or erroneous data
</w:t>
      </w:r>
    </w:p>
    <w:p>
      <w:pPr>
        <w:spacing w:after="0"/>
        <w:numPr>
          <w:ilvl w:val="0"/>
          <w:numId w:val="2"/>
        </w:numPr>
      </w:pPr>
      <w:r>
        <w:rPr/>
        <w:t xml:space="preserve">Risk factors or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protection
</w:t>
      </w:r>
    </w:p>
    <w:p>
      <w:pPr>
        <w:numPr>
          <w:ilvl w:val="0"/>
          <w:numId w:val="2"/>
        </w:numPr>
      </w:pPr>
      <w:r>
        <w:rPr/>
        <w:t xml:space="preserve">Sustainable development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https://www.fullpicture.app/item/ac7090577f8c22bf0ee5273d6755d727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1ACC0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dnsciencepub.com/doi/10.1139/cjfr-2021-0216" TargetMode="External"/><Relationship Id="rId8" Type="http://schemas.openxmlformats.org/officeDocument/2006/relationships/hyperlink" Target="https://www.fullpicture.app/item/ac7090577f8c22bf0ee5273d6755d72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2023-12-22T02:02:01+01:00</dcterms:created>
  <dcterms:modified xsi:type="dcterms:W3CDTF">2023-12-22T02:02:01+01:00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