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1936—1937年广东币制改革的券币比率之争 - 中国知网</w:t></w:r><w:br/><w:hyperlink r:id="rId7" w:history="1"><w:r><w:rPr><w:color w:val="2980b9"/><w:u w:val="single"/></w:rPr><w:t xml:space="preserve">https://kns.cnki.net/kcms2/article/abstract?v=3uoqIhG8C44YLTlOAiTRKibYlV5Vjs7iAEhECQAQ9aTiC5BjCgn0Rule0sGF7C9j6nSokUl3UDcVn_EmGxUz_NwfE69REsdA&uniplatform=NZKPT</w:t></w:r></w:hyperlink></w:p><w:p><w:pPr><w:pStyle w:val="Heading1"/></w:pPr><w:bookmarkStart w:id="2" w:name="_Toc2"/><w:r><w:t>Article summary:</w:t></w:r><w:bookmarkEnd w:id="2"/></w:p><w:p><w:pPr><w:jc w:val="both"/></w:pPr><w:r><w:rPr/><w:t xml:space="preserve">1. 广东币制改革受到了陈济棠的军阀主义的阻碍，使得国家政府在全国范围内实施法定货币政策的步伐不一致。</w:t></w:r></w:p><w:p><w:pPr><w:jc w:val="both"/></w:pPr><w:r><w:rPr/><w:t xml:space="preserve">2. 在广东币制改革中，券币比率成为争议焦点，商业界主张“不超过加三”，后来又要求降低券币比率。</w:t></w:r></w:p><w:p><w:pPr><w:jc w:val="both"/></w:pPr><w:r><w:rPr/><w:t xml:space="preserve">3. 最终确定广东券币比率是在国家和地方利益之间反复博弈后达成的平衡，显示出地方政府在中央加强集权和金融垄断的情况下仍有争取利益的空间。</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该文章主要讲述了1936-1937年广东币制改革的券币比率之争。然而，该文章存在一些潜在的偏见和不足之处。</w:t></w:r></w:p><w:p><w:pPr><w:jc w:val="both"/></w:pPr><w:r><w:rPr/><w:t xml:space="preserve"></w:t></w:r></w:p><w:p><w:pPr><w:jc w:val="both"/></w:pPr><w:r><w:rPr/><w:t xml:space="preserve">首先，该文章没有充分考虑到当时政治、经济和社会背景对广东币制改革的影响。例如，文章没有提及国共内战、日本侵华等因素对广东币制改革的影响。</w:t></w:r></w:p><w:p><w:pPr><w:jc w:val="both"/></w:pPr><w:r><w:rPr/><w:t xml:space="preserve"></w:t></w:r></w:p><w:p><w:pPr><w:jc w:val="both"/></w:pPr><w:r><w:rPr/><w:t xml:space="preserve">其次，该文章片面报道了商业界对券币比率的看法，并未探讨其他利益相关方的观点。此外，文章也没有提供足够的证据来支持商业界所提出的主张。</w:t></w:r></w:p><w:p><w:pPr><w:jc w:val="both"/></w:pPr><w:r><w:rPr/><w:t xml:space="preserve"></w:t></w:r></w:p><w:p><w:pPr><w:jc w:val="both"/></w:pPr><w:r><w:rPr/><w:t xml:space="preserve">第三，该文章缺乏平衡性，未能公正地呈现双方观点。例如，在讨论券币比率时，文章只提到了商业界和政府官员的观点，但并未涉及普通民众或其他利益相关方的看法。</w:t></w:r></w:p><w:p><w:pPr><w:jc w:val="both"/></w:pPr><w:r><w:rPr/><w:t xml:space="preserve"></w:t></w:r></w:p><w:p><w:pPr><w:jc w:val="both"/></w:pPr><w:r><w:rPr/><w:t xml:space="preserve">最后，该文章可能存在宣传内容和偏袒现象。例如，在讨论券币比率时，文章强调了商业界和政府官员所提出的要求，并未探讨其他可能存在的解决方案。</w:t></w:r></w:p><w:p><w:pPr><w:jc w:val="both"/></w:pPr><w:r><w:rPr/><w:t xml:space="preserve"></w:t></w:r></w:p><w:p><w:pPr><w:jc w:val="both"/></w:pPr><w:r><w:rPr/><w:t xml:space="preserve">综上所述，虽然该文章提供了有关广东币制改革历史事件的信息，但其存在一些潜在偏见和不足之处。为了更全面地理解这个历史事件，需要进一步研究并考虑多种因素。</w:t></w:r></w:p><w:p><w:pPr><w:pStyle w:val="Heading1"/></w:pPr><w:bookmarkStart w:id="5" w:name="_Toc5"/><w:r><w:t>Topics for further research:</w:t></w:r><w:bookmarkEnd w:id="5"/></w:p><w:p><w:pPr><w:spacing w:after="0"/><w:numPr><w:ilvl w:val="0"/><w:numId w:val="2"/></w:numPr></w:pPr><w:r><w:rPr/><w:t xml:space="preserve">Political and economic context of Guangdong currency reform in 1936-1937
</w:t></w:r></w:p><w:p><w:pPr><w:spacing w:after="0"/><w:numPr><w:ilvl w:val="0"/><w:numId w:val="2"/></w:numPr></w:pPr><w:r><w:rPr/><w:t xml:space="preserve">Other stakeholders' perspectives on the currency exchange rate issue
</w:t></w:r></w:p><w:p><w:pPr><w:spacing w:after="0"/><w:numPr><w:ilvl w:val="0"/><w:numId w:val="2"/></w:numPr></w:pPr><w:r><w:rPr/><w:t xml:space="preserve">Evidence supporting the demands of the business community
</w:t></w:r></w:p><w:p><w:pPr><w:spacing w:after="0"/><w:numPr><w:ilvl w:val="0"/><w:numId w:val="2"/></w:numPr></w:pPr><w:r><w:rPr/><w:t xml:space="preserve">Balancing the presentation of different viewpoints on the currency exchange rate issue
</w:t></w:r></w:p><w:p><w:pPr><w:spacing w:after="0"/><w:numPr><w:ilvl w:val="0"/><w:numId w:val="2"/></w:numPr></w:pPr><w:r><w:rPr/><w:t xml:space="preserve">Other possible solutions to the currency exchange rate issue
</w:t></w:r></w:p><w:p><w:pPr><w:numPr><w:ilvl w:val="0"/><w:numId w:val="2"/></w:numPr></w:pPr><w:r><w:rPr/><w:t xml:space="preserve">Avoiding propaganda and bias in discussing historical events</w:t></w:r></w:p><w:p><w:pPr><w:pStyle w:val="Heading1"/></w:pPr><w:bookmarkStart w:id="6" w:name="_Toc6"/><w:r><w:t>Report location:</w:t></w:r><w:bookmarkEnd w:id="6"/></w:p><w:p><w:hyperlink r:id="rId8" w:history="1"><w:r><w:rPr><w:color w:val="2980b9"/><w:u w:val="single"/></w:rPr><w:t xml:space="preserve">https://www.fullpicture.app/item/aae710ce1dc781abfed9c1f66ea4b963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B66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AEhECQAQ9aTiC5BjCgn0Rule0sGF7C9j6nSokUl3UDcVn_EmGxUz_NwfE69REsdA&amp;uniplatform=NZKPT" TargetMode="External"/><Relationship Id="rId8" Type="http://schemas.openxmlformats.org/officeDocument/2006/relationships/hyperlink" Target="https://www.fullpicture.app/item/aae710ce1dc781abfed9c1f66ea4b9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2024-01-01T04:37:27+01:00</dcterms:created>
  <dcterms:modified xsi:type="dcterms:W3CDTF">2024-01-01T04:37:27+01:00</dcterms:modified>
</cp:coreProperties>
</file>

<file path=docProps/custom.xml><?xml version="1.0" encoding="utf-8"?>
<Properties xmlns="http://schemas.openxmlformats.org/officeDocument/2006/custom-properties" xmlns:vt="http://schemas.openxmlformats.org/officeDocument/2006/docPropsVTypes"/>
</file>