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Poly-N-acetyllactosamine Extension inN-Glycans and Core 2- and Core 4-branchedO-Glycans Is Differentially Controlled by i-Extension Enzyme and Different Members of the β1,4-Galactosyltransferase Gene Family - ScienceDirect</w:t>
      </w:r>
      <w:br/>
      <w:hyperlink r:id="rId7" w:history="1">
        <w:r>
          <w:rPr>
            <w:color w:val="2980b9"/>
            <w:u w:val="single"/>
          </w:rPr>
          <w:t xml:space="preserve">https://www.sciencedirect.com/science/article/pii/S0021925819803721</w:t>
        </w:r>
      </w:hyperlink>
    </w:p>
    <w:p>
      <w:pPr>
        <w:pStyle w:val="Heading1"/>
      </w:pPr>
      <w:bookmarkStart w:id="2" w:name="_Toc2"/>
      <w:r>
        <w:t>Article summary:</w:t>
      </w:r>
      <w:bookmarkEnd w:id="2"/>
    </w:p>
    <w:p>
      <w:pPr>
        <w:jc w:val="both"/>
      </w:pPr>
      <w:r>
        <w:rPr/>
        <w:t xml:space="preserve">1. Poly-N-acetyllactosamines are important glycans that provide functional oligosaccharides such as sialyl LewisX.</w:t>
      </w:r>
    </w:p>
    <w:p>
      <w:pPr>
        <w:jc w:val="both"/>
      </w:pPr>
      <w:r>
        <w:rPr/>
        <w:t xml:space="preserve">2. iGnT and distinct members of the β4Gal-T gene family control poly-N-acetyllactosamine synthesis in N-glycans and core 2- and core 4-branched O-glycans.</w:t>
      </w:r>
    </w:p>
    <w:p>
      <w:pPr>
        <w:jc w:val="both"/>
      </w:pPr>
      <w:r>
        <w:rPr/>
        <w:t xml:space="preserve">3. The efficiency of poly-N-acetyllactosamine extension varies depending on the acceptor molecule, with competition between donor substrate and acceptor affecting galactosylation and N-acetylglucosaminylation.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作为一篇科学研究论文，该文章并没有明显的偏见或宣传内容。然而，它可能存在一些片面报道和缺失的考虑点。</w:t>
      </w:r>
    </w:p>
    <w:p>
      <w:pPr>
        <w:jc w:val="both"/>
      </w:pPr>
      <w:r>
        <w:rPr/>
        <w:t xml:space="preserve"/>
      </w:r>
    </w:p>
    <w:p>
      <w:pPr>
        <w:jc w:val="both"/>
      </w:pPr>
      <w:r>
        <w:rPr/>
        <w:t xml:space="preserve">首先，文章只关注了多N-乙酰乳糖胺在不同类型的糖基中的合成机制，并没有探讨其在生物学过程中的具体功能和意义。这可能会导致读者对于该研究结果的实际应用和意义产生困惑。</w:t>
      </w:r>
    </w:p>
    <w:p>
      <w:pPr>
        <w:jc w:val="both"/>
      </w:pPr>
      <w:r>
        <w:rPr/>
        <w:t xml:space="preserve"/>
      </w:r>
    </w:p>
    <w:p>
      <w:pPr>
        <w:jc w:val="both"/>
      </w:pPr>
      <w:r>
        <w:rPr/>
        <w:t xml:space="preserve">其次，文章提到了iGnT和β4Gal-T家族成员在多N-乙酰乳糖胺合成中的不同作用，但并没有详细说明这些酶如何被调节和协同作用。此外，文章也没有探讨其他可能影响多N-乙酰乳糖胺合成的因素，例如细胞类型、环境因素等。</w:t>
      </w:r>
    </w:p>
    <w:p>
      <w:pPr>
        <w:jc w:val="both"/>
      </w:pPr>
      <w:r>
        <w:rPr/>
        <w:t xml:space="preserve"/>
      </w:r>
    </w:p>
    <w:p>
      <w:pPr>
        <w:jc w:val="both"/>
      </w:pPr>
      <w:r>
        <w:rPr/>
        <w:t xml:space="preserve">最后，在方法部分中提到使用了高压液相色谱（HPLC）进行分析，但并没有说明具体的分析条件和标准品。这可能会影响结果的准确性和可重复性。</w:t>
      </w:r>
    </w:p>
    <w:p>
      <w:pPr>
        <w:jc w:val="both"/>
      </w:pPr>
      <w:r>
        <w:rPr/>
        <w:t xml:space="preserve"/>
      </w:r>
    </w:p>
    <w:p>
      <w:pPr>
        <w:jc w:val="both"/>
      </w:pPr>
      <w:r>
        <w:rPr/>
        <w:t xml:space="preserve">总之，尽管该文章并未明显存在偏见或宣传内容，但仍需要更全面地考虑相关问题，并提供更详细的实验方法和数据分析。</w:t>
      </w:r>
    </w:p>
    <w:p>
      <w:pPr>
        <w:pStyle w:val="Heading1"/>
      </w:pPr>
      <w:bookmarkStart w:id="5" w:name="_Toc5"/>
      <w:r>
        <w:t>Topics for further research:</w:t>
      </w:r>
      <w:bookmarkEnd w:id="5"/>
    </w:p>
    <w:p>
      <w:pPr>
        <w:spacing w:after="0"/>
        <w:numPr>
          <w:ilvl w:val="0"/>
          <w:numId w:val="2"/>
        </w:numPr>
      </w:pPr>
      <w:r>
        <w:rPr/>
        <w:t xml:space="preserve">Biological functions and significance of multiple N-acetylglucosamine synthesis
</w:t>
      </w:r>
    </w:p>
    <w:p>
      <w:pPr>
        <w:spacing w:after="0"/>
        <w:numPr>
          <w:ilvl w:val="0"/>
          <w:numId w:val="2"/>
        </w:numPr>
      </w:pPr>
      <w:r>
        <w:rPr/>
        <w:t xml:space="preserve">Regulation and coordination of iGnT and β4Gal-T enzymes in multiple N-acetylglucosamine synthesis
</w:t>
      </w:r>
    </w:p>
    <w:p>
      <w:pPr>
        <w:spacing w:after="0"/>
        <w:numPr>
          <w:ilvl w:val="0"/>
          <w:numId w:val="2"/>
        </w:numPr>
      </w:pPr>
      <w:r>
        <w:rPr/>
        <w:t xml:space="preserve">Other factors affecting multiple N-acetylglucosamine synthesis</w:t>
      </w:r>
    </w:p>
    <w:p>
      <w:pPr>
        <w:spacing w:after="0"/>
        <w:numPr>
          <w:ilvl w:val="0"/>
          <w:numId w:val="2"/>
        </w:numPr>
      </w:pPr>
      <w:r>
        <w:rPr/>
        <w:t xml:space="preserve">such as cell type and environmental factors
</w:t>
      </w:r>
    </w:p>
    <w:p>
      <w:pPr>
        <w:spacing w:after="0"/>
        <w:numPr>
          <w:ilvl w:val="0"/>
          <w:numId w:val="2"/>
        </w:numPr>
      </w:pPr>
      <w:r>
        <w:rPr/>
        <w:t xml:space="preserve">Specific analysis conditions and standards for HPLC analysis
</w:t>
      </w:r>
    </w:p>
    <w:p>
      <w:pPr>
        <w:spacing w:after="0"/>
        <w:numPr>
          <w:ilvl w:val="0"/>
          <w:numId w:val="2"/>
        </w:numPr>
      </w:pPr>
      <w:r>
        <w:rPr/>
        <w:t xml:space="preserve">Limitations and potential biases in the study
</w:t>
      </w:r>
    </w:p>
    <w:p>
      <w:pPr>
        <w:numPr>
          <w:ilvl w:val="0"/>
          <w:numId w:val="2"/>
        </w:numPr>
      </w:pPr>
      <w:r>
        <w:rPr/>
        <w:t xml:space="preserve">Future directions for research on multiple N-acetylglucosamine synthesis and its biological implications.</w:t>
      </w:r>
    </w:p>
    <w:p>
      <w:pPr>
        <w:pStyle w:val="Heading1"/>
      </w:pPr>
      <w:bookmarkStart w:id="6" w:name="_Toc6"/>
      <w:r>
        <w:t>Report location:</w:t>
      </w:r>
      <w:bookmarkEnd w:id="6"/>
    </w:p>
    <w:p>
      <w:hyperlink r:id="rId8" w:history="1">
        <w:r>
          <w:rPr>
            <w:color w:val="2980b9"/>
            <w:u w:val="single"/>
          </w:rPr>
          <w:t xml:space="preserve">https://www.fullpicture.app/item/aa273ac1b05f282ab023a5545d2b9d1f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631F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1925819803721" TargetMode="External"/><Relationship Id="rId8" Type="http://schemas.openxmlformats.org/officeDocument/2006/relationships/hyperlink" Target="https://www.fullpicture.app/item/aa273ac1b05f282ab023a5545d2b9d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2023-12-05T11:12:24+01:00</dcterms:created>
  <dcterms:modified xsi:type="dcterms:W3CDTF">2023-12-05T11:12:24+01:00</dcterms:modified>
</cp:coreProperties>
</file>

<file path=docProps/custom.xml><?xml version="1.0" encoding="utf-8"?>
<Properties xmlns="http://schemas.openxmlformats.org/officeDocument/2006/custom-properties" xmlns:vt="http://schemas.openxmlformats.org/officeDocument/2006/docPropsVTypes"/>
</file>