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Gradient-based learning applied to document recognition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https://ieeexplore.ieee.org/abstract/document/726791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Gradient-based learning algorithms can be used to synthesize a complex decision surface that can classify high-dimensional patterns, such as handwritten characters, with minimal preprocessing.</w:t>
      </w:r>
    </w:p>
    <w:p>
      <w:pPr>
        <w:jc w:val="both"/>
      </w:pPr>
      <w:r>
        <w:rPr/>
        <w:t xml:space="preserve">2. Convolutional neural networks are specifically designed to deal with the variability of 2D shapes and outperform all other techniques in handwritten digit recognition tasks.</w:t>
      </w:r>
    </w:p>
    <w:p>
      <w:pPr>
        <w:jc w:val="both"/>
      </w:pPr>
      <w:r>
        <w:rPr/>
        <w:t xml:space="preserve">3. Graph transformer networks (GTN) allow for global training of multimodule systems in real-life document recognition, resulting in improved performance and flexibility. A GTN for reading bank cheques has been deployed commercially and reads several million cheques per day.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作为一篇关于文档识别的论文，该文章并没有明显的潜在偏见或宣传内容。然而，它可能存在一些片面报道和缺失的考虑点。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卷积神经网络在手写字符识别中的优越性，但并未探讨其他类型的图像识别任务中其他算法的表现。其次，文章提到了一个新的学习范式——图形转换网络（GTN），但并未提供足够的证据来支持其在实际应用中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，在比较不同方法时只关注了它们在标准手写数字识别任务上的表现，并未考虑它们在其他场景下可能具有更好或更差的表现。最后，文章没有注意到可能存在的风险或局限性，例如对数据隐私和安全性的影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综上所述，尽管该文章没有明显偏见或宣传内容，但仍存在一些片面报道和缺失考虑点。读者需要谨慎评估其中提出主张所依据证据，并对其结论保持审慎态度。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image recognition algorithms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effectiveness of Graph Transformation Networks (GTN)
</w:t>
      </w:r>
    </w:p>
    <w:p>
      <w:pPr>
        <w:spacing w:after="0"/>
        <w:numPr>
          <w:ilvl w:val="0"/>
          <w:numId w:val="2"/>
        </w:numPr>
      </w:pPr>
      <w:r>
        <w:rPr/>
        <w:t xml:space="preserve">Comparison of different methods in different scenarios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</w:t>
      </w:r>
    </w:p>
    <w:p>
      <w:pPr>
        <w:spacing w:after="0"/>
        <w:numPr>
          <w:ilvl w:val="0"/>
          <w:numId w:val="2"/>
        </w:numPr>
      </w:pPr>
      <w:r>
        <w:rPr/>
        <w:t xml:space="preserve">such as data privacy and security
</w:t>
      </w:r>
    </w:p>
    <w:p>
      <w:pPr>
        <w:spacing w:after="0"/>
        <w:numPr>
          <w:ilvl w:val="0"/>
          <w:numId w:val="2"/>
        </w:numPr>
      </w:pPr>
      <w:r>
        <w:rPr/>
        <w:t xml:space="preserve">Evaluation of the evidence supporting the claims made in the article
</w:t>
      </w:r>
    </w:p>
    <w:p>
      <w:pPr>
        <w:numPr>
          <w:ilvl w:val="0"/>
          <w:numId w:val="2"/>
        </w:numPr>
      </w:pPr>
      <w:r>
        <w:rPr/>
        <w:t xml:space="preserve">Maintaining a cautious attitude towards the conclusions drawn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https://www.fullpicture.app/item/a96eb4b441c6056352bcfa9069ef0b08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B42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726791" TargetMode="External"/><Relationship Id="rId8" Type="http://schemas.openxmlformats.org/officeDocument/2006/relationships/hyperlink" Target="https://www.fullpicture.app/item/a96eb4b441c6056352bcfa9069ef0b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2024-01-09T04:11:50+01:00</dcterms:created>
  <dcterms:modified xsi:type="dcterms:W3CDTF">2024-01-09T04:11:50+01:00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