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BDO taking over The Podium project as Keppel Group exits venture | Inquirer Business</w:t>
      </w:r>
      <w:br/>
      <w:hyperlink r:id="rId7" w:history="1">
        <w:r>
          <w:rPr>
            <w:color w:val="2980b9"/>
            <w:u w:val="single"/>
          </w:rPr>
          <w:t xml:space="preserve">https://business.inquirer.net/393328/bdo-taking-over-the-podium-project-as-keppel-group-exits-venture</w:t>
        </w:r>
      </w:hyperlink>
    </w:p>
    <w:p>
      <w:pPr>
        <w:pStyle w:val="Heading1"/>
      </w:pPr>
      <w:bookmarkStart w:id="2" w:name="_Toc2"/>
      <w:r>
        <w:t>Article summary:</w:t>
      </w:r>
      <w:bookmarkEnd w:id="2"/>
    </w:p>
    <w:p>
      <w:pPr>
        <w:jc w:val="both"/>
      </w:pPr>
      <w:r>
        <w:rPr/>
        <w:t xml:space="preserve">1. BDO Unibank Inc. rachète la participation de Keppel Group dans The Podium, un complexe commercial et de bureaux à Mandaluyong City, Metro Manila.</w:t>
      </w:r>
    </w:p>
    <w:p>
      <w:pPr>
        <w:jc w:val="both"/>
      </w:pPr>
      <w:r>
        <w:rPr/>
        <w:t xml:space="preserve">2. Les partenaires de longue date ont développé The Podium à partir d'un centre commercial ouvert en 2002 avant de reconvertir ce projet en un hub commercial et de bureaux comprenant la tour de bureaux The Podium West Tower.</w:t>
      </w:r>
    </w:p>
    <w:p>
      <w:pPr>
        <w:jc w:val="both"/>
      </w:pPr>
      <w:r>
        <w:rPr/>
        <w:t xml:space="preserve">3. BDO consolidera ainsi sa propriété du complexe Podium, qui abrite déjà les bureaux de BDO à Ortigas et dont BDO occupe environ 63% des espaces de bureau.</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rapporte que BDO Unibank Inc., la filiale bancaire phare de la famille Sy, a acquis la totalité du complexe commercial et de bureaux The Podium à Mandaluyong City, Metro Manila, en rachetant la partenaire Keppel Group de Singapour. Le complexe comprend le centre d'entreprise Corporate Center Ortigas de BDO, la tour de bureaux The Podium West Tower et le centre commercial The Podium Mall. L'article ne fournit pas beaucoup d'informations sur les raisons pour lesquelles Keppel Group a décidé de vendre sa participation dans SM Keppel Land, mais indique que cela fait partie des plans de monétisation d'actifs de Keppel Vision 2030 pour débloquer des capitaux qui peuvent être canalisés vers de nouvelles opportunités de croissance. </w:t>
      </w:r>
    </w:p>
    <w:p>
      <w:pPr>
        <w:jc w:val="both"/>
      </w:pPr>
      <w:r>
        <w:rPr/>
        <w:t xml:space="preserve"/>
      </w:r>
    </w:p>
    <w:p>
      <w:pPr>
        <w:jc w:val="both"/>
      </w:pPr>
      <w:r>
        <w:rPr/>
        <w:t xml:space="preserve">Cependant, l'article manque d'informations sur les implications potentielles pour les locataires actuels du complexe et sur l'impact éventuel sur le marché immobilier local. Il n'y a pas non plus d'analyse approfondie des avantages ou des inconvénients potentiels pour BDO Unibank Inc. ou pour SM Investments Corp., le conglomérat retail, immobilier et bancaire dont BDO fait partie. En outre, l'article ne fournit pas suffisamment d'informations sur les termes financiers exacts de l'accord entre BDO et Keppel Group.</w:t>
      </w:r>
    </w:p>
    <w:p>
      <w:pPr>
        <w:jc w:val="both"/>
      </w:pPr>
      <w:r>
        <w:rPr/>
        <w:t xml:space="preserve"/>
      </w:r>
    </w:p>
    <w:p>
      <w:pPr>
        <w:jc w:val="both"/>
      </w:pPr>
      <w:r>
        <w:rPr/>
        <w:t xml:space="preserve">En ce qui concerne les biais potentiels, l'article semble être écrit à partir du point de vue des entreprises impliquées dans la transaction plutôt que du point de vue des consommateurs ou des parties prenantes externes. Il n'y a pas non plus de contre-arguments ou d'opinions divergentes présentés dans l'article. Enfin, l'article contient une promotion pour INQUIRER PLUS, un service d'abonnement payant qui donne accès à The Philippine Daily Inquirer et à plus de 70 autres titres.</w:t>
      </w:r>
    </w:p>
    <w:p>
      <w:pPr>
        <w:pStyle w:val="Heading1"/>
      </w:pPr>
      <w:bookmarkStart w:id="5" w:name="_Toc5"/>
      <w:r>
        <w:t>Topics for further research:</w:t>
      </w:r>
      <w:bookmarkEnd w:id="5"/>
    </w:p>
    <w:p>
      <w:pPr>
        <w:spacing w:after="0"/>
        <w:numPr>
          <w:ilvl w:val="0"/>
          <w:numId w:val="2"/>
        </w:numPr>
      </w:pPr>
      <w:r>
        <w:rPr/>
        <w:t xml:space="preserve">Implications pour les locataires actuels du complexe The Podium à Mandaluyong City</w:t>
      </w:r>
    </w:p>
    <w:p>
      <w:pPr>
        <w:spacing w:after="0"/>
        <w:numPr>
          <w:ilvl w:val="0"/>
          <w:numId w:val="2"/>
        </w:numPr>
      </w:pPr>
      <w:r>
        <w:rPr/>
        <w:t xml:space="preserve">Metro Manila</w:t>
      </w:r>
    </w:p>
    <w:p>
      <w:pPr>
        <w:spacing w:after="0"/>
        <w:numPr>
          <w:ilvl w:val="0"/>
          <w:numId w:val="2"/>
        </w:numPr>
      </w:pPr>
      <w:r>
        <w:rPr/>
        <w:t xml:space="preserve">suite à l'acquisition de la totalité du complexe par BDO Unibank Inc.
</w:t>
      </w:r>
    </w:p>
    <w:p>
      <w:pPr>
        <w:spacing w:after="0"/>
        <w:numPr>
          <w:ilvl w:val="0"/>
          <w:numId w:val="2"/>
        </w:numPr>
      </w:pPr>
      <w:r>
        <w:rPr/>
        <w:t xml:space="preserve">Impact potentiel sur le marché immobilier local après l'acquisition de The Podium par BDO Unibank Inc.
</w:t>
      </w:r>
    </w:p>
    <w:p>
      <w:pPr>
        <w:spacing w:after="0"/>
        <w:numPr>
          <w:ilvl w:val="0"/>
          <w:numId w:val="2"/>
        </w:numPr>
      </w:pPr>
      <w:r>
        <w:rPr/>
        <w:t xml:space="preserve">Analyse approfondie des avantages et des inconvénients potentiels pour BDO Unibank Inc. et SM Investments Corp. suite à l'acquisition de The Podium.
</w:t>
      </w:r>
    </w:p>
    <w:p>
      <w:pPr>
        <w:spacing w:after="0"/>
        <w:numPr>
          <w:ilvl w:val="0"/>
          <w:numId w:val="2"/>
        </w:numPr>
      </w:pPr>
      <w:r>
        <w:rPr/>
        <w:t xml:space="preserve">Termes financiers exacts de l'accord entre BDO Unibank Inc. et Keppel Group pour l'acquisition de The Podium.
</w:t>
      </w:r>
    </w:p>
    <w:p>
      <w:pPr>
        <w:spacing w:after="0"/>
        <w:numPr>
          <w:ilvl w:val="0"/>
          <w:numId w:val="2"/>
        </w:numPr>
      </w:pPr>
      <w:r>
        <w:rPr/>
        <w:t xml:space="preserve">Raisons pour lesquelles Keppel Group a décidé de vendre sa participation dans SM Keppel Land et les autres actifs monétisés dans le cadre de Keppel Vision 203</w:t>
      </w:r>
    </w:p>
    <w:p>
      <w:pPr>
        <w:spacing w:after="0"/>
        <w:numPr>
          <w:ilvl w:val="0"/>
          <w:numId w:val="2"/>
        </w:numPr>
      </w:pPr>
      <w:r>
        <w:rPr/>
        <w:t xml:space="preserve">
</w:t>
      </w:r>
    </w:p>
    <w:p>
      <w:pPr>
        <w:numPr>
          <w:ilvl w:val="0"/>
          <w:numId w:val="2"/>
        </w:numPr>
      </w:pPr>
      <w:r>
        <w:rPr/>
        <w:t xml:space="preserve">Opinions divergentes ou contre-arguments concernant l'acquisition de The Podium par BDO Unibank Inc. et ses implications.</w:t>
      </w:r>
    </w:p>
    <w:p>
      <w:pPr>
        <w:pStyle w:val="Heading1"/>
      </w:pPr>
      <w:bookmarkStart w:id="6" w:name="_Toc6"/>
      <w:r>
        <w:t>Report location:</w:t>
      </w:r>
      <w:bookmarkEnd w:id="6"/>
    </w:p>
    <w:p>
      <w:hyperlink r:id="rId8" w:history="1">
        <w:r>
          <w:rPr>
            <w:color w:val="2980b9"/>
            <w:u w:val="single"/>
          </w:rPr>
          <w:t xml:space="preserve">https://www.fullpicture.app/item/a79792ad7a665379a3da7bcda69f480f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813F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usiness.inquirer.net/393328/bdo-taking-over-the-podium-project-as-keppel-group-exits-venture" TargetMode="External"/><Relationship Id="rId8" Type="http://schemas.openxmlformats.org/officeDocument/2006/relationships/hyperlink" Target="https://www.fullpicture.app/item/a79792ad7a665379a3da7bcda69f48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2023-12-30T12:18:11+01:00</dcterms:created>
  <dcterms:modified xsi:type="dcterms:W3CDTF">2023-12-30T12:18:11+01:00</dcterms:modified>
</cp:coreProperties>
</file>

<file path=docProps/custom.xml><?xml version="1.0" encoding="utf-8"?>
<Properties xmlns="http://schemas.openxmlformats.org/officeDocument/2006/custom-properties" xmlns:vt="http://schemas.openxmlformats.org/officeDocument/2006/docPropsVTypes"/>
</file>