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Spotlight on Furmonertinib (Alflutinib, AST2818). The Swiss Army Knife (del19, L858R, T790M, Exon 20 Insertions, "uncommon-G719X, S768I, L861Q") Among the Third-Generation EGFR TKIs? - PubMed</w:t>
      </w:r>
      <w:br/>
      <w:hyperlink r:id="rId7" w:history="1">
        <w:r>
          <w:rPr>
            <w:color w:val="2980b9"/>
            <w:u w:val="single"/>
          </w:rPr>
          <w:t xml:space="preserve">https://pubmed.ncbi.nlm.nih.gov/36317157/</w:t>
        </w:r>
      </w:hyperlink>
    </w:p>
    <w:p>
      <w:pPr>
        <w:pStyle w:val="Heading1"/>
      </w:pPr>
      <w:bookmarkStart w:id="2" w:name="_Toc2"/>
      <w:r>
        <w:t>Article summary:</w:t>
      </w:r>
      <w:bookmarkEnd w:id="2"/>
    </w:p>
    <w:p>
      <w:pPr>
        <w:jc w:val="both"/>
      </w:pPr>
      <w:r>
        <w:rPr/>
        <w:t xml:space="preserve">1. Furmonertinib (Alflutinib, AST2818) is a third-generation EGFR TKI that has shown promising clinical activity in the treatment of advanced EGFR+ NSCLC.</w:t>
      </w:r>
    </w:p>
    <w:p>
      <w:pPr>
        <w:jc w:val="both"/>
      </w:pPr>
      <w:r>
        <w:rPr/>
        <w:t xml:space="preserve">2. Furmonertinib has demonstrated efficacy in patients with specific EGFR mutations, including del19, L858R, T790M, Exon 20 insertions, and uncommon mutations such as G719X, S768I, and L861Q.</w:t>
      </w:r>
    </w:p>
    <w:p>
      <w:pPr>
        <w:jc w:val="both"/>
      </w:pPr>
      <w:r>
        <w:rPr/>
        <w:t xml:space="preserve">3. The dosing regimen of furmonertinib at 80 mg daily has been approved, but there is potential for higher doses (160 mg or 240 mg daily) in certain patient populations, such as those with CNS metastasis or EGFR exon20 insertion positive NSCLC.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对于这篇文章的详细批判性分析，需要先了解一些背景信息。这篇文章是一篇综述，旨在评估第三代表皮生长因子受体酪氨酸激酶抑制剂（EGFR TKIs）furmonertinib（Alflutinib, AST2818）的临床活性和不良事件。作者提到，osimertinib目前被认为是EGFR阳性非小细胞肺癌（NSCLC）一线治疗的标准药物，并且最近中国还批准了另外两种第三代EGFR TKIs（aumolertinib和furmonertinib）。作者主要关注furmonertinib，并回顾了其在不同剂量下的临床活性和不良事件。</w:t>
      </w:r>
    </w:p>
    <w:p>
      <w:pPr>
        <w:jc w:val="both"/>
      </w:pPr>
      <w:r>
        <w:rPr/>
        <w:t xml:space="preserve"/>
      </w:r>
    </w:p>
    <w:p>
      <w:pPr>
        <w:jc w:val="both"/>
      </w:pPr>
      <w:r>
        <w:rPr/>
        <w:t xml:space="preserve">然而，在对这篇文章进行批判性分析时，我们可以注意到以下几个问题：</w:t>
      </w:r>
    </w:p>
    <w:p>
      <w:pPr>
        <w:jc w:val="both"/>
      </w:pPr>
      <w:r>
        <w:rPr/>
        <w:t xml:space="preserve"/>
      </w:r>
    </w:p>
    <w:p>
      <w:pPr>
        <w:jc w:val="both"/>
      </w:pPr>
      <w:r>
        <w:rPr/>
        <w:t xml:space="preserve">1. 潜在偏见及其来源：文章中并未明确提及作者的潜在偏见或利益冲突。虽然有一个冲突声明部分，但只提到其中一位作者的利益冲突情况，并没有涉及其他作者。这可能导致读者对作者团队的立场和潜在偏见产生疑问。</w:t>
      </w:r>
    </w:p>
    <w:p>
      <w:pPr>
        <w:jc w:val="both"/>
      </w:pPr>
      <w:r>
        <w:rPr/>
        <w:t xml:space="preserve"/>
      </w:r>
    </w:p>
    <w:p>
      <w:pPr>
        <w:jc w:val="both"/>
      </w:pPr>
      <w:r>
        <w:rPr/>
        <w:t xml:space="preserve">2. 片面报道：文章主要关注furmonertinib的临床活性和不良事件，但并未提及其他第三代EGFR TKIs的类似研究结果。这种片面报道可能导致读者对该药物的整体效果和安全性缺乏全面了解。</w:t>
      </w:r>
    </w:p>
    <w:p>
      <w:pPr>
        <w:jc w:val="both"/>
      </w:pPr>
      <w:r>
        <w:rPr/>
        <w:t xml:space="preserve"/>
      </w:r>
    </w:p>
    <w:p>
      <w:pPr>
        <w:jc w:val="both"/>
      </w:pPr>
      <w:r>
        <w:rPr/>
        <w:t xml:space="preserve">3. 无根据的主张：文章中提到furmonertinib在不同剂量下的应用，包括用于EGFR阳性NSCLC患者的脑转移和EGFR外显子20插入阳性（EGFRex20ins+）NSCLC患者。然而，文章并未提供足够的证据来支持这些主张，如相关临床试验结果或系统综述的数据。因此，这些主张可能是基于作者个人经验或假设，并缺乏科学依据。</w:t>
      </w:r>
    </w:p>
    <w:p>
      <w:pPr>
        <w:jc w:val="both"/>
      </w:pPr>
      <w:r>
        <w:rPr/>
        <w:t xml:space="preserve"/>
      </w:r>
    </w:p>
    <w:p>
      <w:pPr>
        <w:jc w:val="both"/>
      </w:pPr>
      <w:r>
        <w:rPr/>
        <w:t xml:space="preserve">4. 缺失的考虑点：文章没有讨论与furmonertinib相关的潜在风险或副作用。例如，是否有已知的严重不良事件或药物相互作用需要被考虑？这些信息对于医生和患者做出决策非常重要，但在文章中被忽略了。</w:t>
      </w:r>
    </w:p>
    <w:p>
      <w:pPr>
        <w:jc w:val="both"/>
      </w:pPr>
      <w:r>
        <w:rPr/>
        <w:t xml:space="preserve"/>
      </w:r>
    </w:p>
    <w:p>
      <w:pPr>
        <w:jc w:val="both"/>
      </w:pPr>
      <w:r>
        <w:rPr/>
        <w:t xml:space="preserve">5. 所提出主张的缺失证据：尽管文章提到furmonertinib在某些情况下可能具有优势，但并未提供充分的证据来支持这些主张。没有引用相关的研究结果或数据，这使得读者很难评估这些主张的可靠性和有效性。</w:t>
      </w:r>
    </w:p>
    <w:p>
      <w:pPr>
        <w:jc w:val="both"/>
      </w:pPr>
      <w:r>
        <w:rPr/>
        <w:t xml:space="preserve"/>
      </w:r>
    </w:p>
    <w:p>
      <w:pPr>
        <w:jc w:val="both"/>
      </w:pPr>
      <w:r>
        <w:rPr/>
        <w:t xml:space="preserve">综上所述，这篇文章存在一些问题，包括潜在偏见、片面报道、无根据的主张、缺失的考虑点和不足的证据支持。读者应该对其中提出的观点保持谨慎，并寻找更全面和可靠的信息来评估furmonertinib作为第三代EGFR TKIs的临床效果和安全性。</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其他第三代EGFR TKIs的研究结果
</w:t>
      </w:r>
    </w:p>
    <w:p>
      <w:pPr>
        <w:spacing w:after="0"/>
        <w:numPr>
          <w:ilvl w:val="0"/>
          <w:numId w:val="2"/>
        </w:numPr>
      </w:pPr>
      <w:r>
        <w:rPr/>
        <w:t xml:space="preserve">对于furmonertinib在不同剂量下的应用的证据支持
</w:t>
      </w:r>
    </w:p>
    <w:p>
      <w:pPr>
        <w:spacing w:after="0"/>
        <w:numPr>
          <w:ilvl w:val="0"/>
          <w:numId w:val="2"/>
        </w:numPr>
      </w:pPr>
      <w:r>
        <w:rPr/>
        <w:t xml:space="preserve">与furmonertinib相关的潜在风险或副作用
</w:t>
      </w:r>
    </w:p>
    <w:p>
      <w:pPr>
        <w:spacing w:after="0"/>
        <w:numPr>
          <w:ilvl w:val="0"/>
          <w:numId w:val="2"/>
        </w:numPr>
      </w:pPr>
      <w:r>
        <w:rPr/>
        <w:t xml:space="preserve">furmonertinib在某些情况下的优势的证据支持
</w:t>
      </w:r>
    </w:p>
    <w:p>
      <w:pPr>
        <w:numPr>
          <w:ilvl w:val="0"/>
          <w:numId w:val="2"/>
        </w:numPr>
      </w:pPr>
      <w:r>
        <w:rPr/>
        <w:t xml:space="preserve">更全面和可靠的信息来评估furmonertinib的临床效果和安全性</w:t>
      </w:r>
    </w:p>
    <w:p>
      <w:pPr>
        <w:pStyle w:val="Heading1"/>
      </w:pPr>
      <w:bookmarkStart w:id="6" w:name="_Toc6"/>
      <w:r>
        <w:t>Report location:</w:t>
      </w:r>
      <w:bookmarkEnd w:id="6"/>
    </w:p>
    <w:p>
      <w:hyperlink r:id="rId8" w:history="1">
        <w:r>
          <w:rPr>
            <w:color w:val="2980b9"/>
            <w:u w:val="single"/>
          </w:rPr>
          <w:t xml:space="preserve">https://www.fullpicture.app/item/a71a96bfb6e18962cdea396214771099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55C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17157/" TargetMode="External"/><Relationship Id="rId8" Type="http://schemas.openxmlformats.org/officeDocument/2006/relationships/hyperlink" Target="https://www.fullpicture.app/item/a71a96bfb6e18962cdea3962147710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2023-09-01T11:27:16+02:00</dcterms:created>
  <dcterms:modified xsi:type="dcterms:W3CDTF">2023-09-01T11:27:16+02:00</dcterms:modified>
</cp:coreProperties>
</file>

<file path=docProps/custom.xml><?xml version="1.0" encoding="utf-8"?>
<Properties xmlns="http://schemas.openxmlformats.org/officeDocument/2006/custom-properties" xmlns:vt="http://schemas.openxmlformats.org/officeDocument/2006/docPropsVTypes"/>
</file>