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40 Years of Group Vitality Research and Future Directions.pdf</w:t>
      </w:r>
      <w:br/>
      <w:hyperlink r:id="rId7" w:history="1">
        <w:r>
          <w:rPr>
            <w:color w:val="2980b9"/>
            <w:u w:val="single"/>
          </w:rPr>
          <w:t xml:space="preserve">https://typeset.io/library/zhu-guan-yu-yan-huo-li-can-kao-wen-xian-3-2lu0i5xd/assessing-40-years-of-group-vitality-research-and-future-2dkrg0j4</w:t>
        </w:r>
      </w:hyperlink>
    </w:p>
    <w:p>
      <w:pPr>
        <w:pStyle w:val="Heading1"/>
      </w:pPr>
      <w:bookmarkStart w:id="2" w:name="_Toc2"/>
      <w:r>
        <w:t>Article summary:</w:t>
      </w:r>
      <w:bookmarkEnd w:id="2"/>
    </w:p>
    <w:p>
      <w:pPr>
        <w:jc w:val="both"/>
      </w:pPr>
      <w:r>
        <w:rPr/>
        <w:t xml:space="preserve">1. 群体活力是指在多语言环境中，使语言社区表现出独特和积极的集体实体行为的因素。它可以通过人口统计和社会语言学指标来衡量少数民族和多数民族之间的相对活力水平。</w:t>
      </w:r>
    </w:p>
    <w:p>
      <w:pPr>
        <w:jc w:val="both"/>
      </w:pPr>
      <w:r>
        <w:rPr/>
        <w:t xml:space="preserve">2. 三个结构性因素（人口统计、机构支持和地位）共同促进强到弱群体活力。这些因素包括人口数量、年龄结构、婚姻状况、移民/移居率、控制机构的程度以及语言社区在国家、地区和城市中的存在比例等。</w:t>
      </w:r>
    </w:p>
    <w:p>
      <w:pPr>
        <w:jc w:val="both"/>
      </w:pPr>
      <w:r>
        <w:rPr/>
        <w:t xml:space="preserve">3. 该文章提供了两个案例研究，说明了语言政策对加拿大语言少数民族活力的影响，并呼吁未来需要更加统一和启发性的群体活力理论。</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"Assessing 40 Years of Group Vitality Research and Future Directions" by Bourhis et al. provides an overview of group vitality research and theory, focusing on language communities in multilingual settings. While the article offers a comprehensive review of the literature on objective and subjective vitality, it is not without its potential biases and limitations.</w:t>
      </w:r>
    </w:p>
    <w:p>
      <w:pPr>
        <w:jc w:val="both"/>
      </w:pPr>
      <w:r>
        <w:rPr/>
        <w:t xml:space="preserve"/>
      </w:r>
    </w:p>
    <w:p>
      <w:pPr>
        <w:jc w:val="both"/>
      </w:pPr>
      <w:r>
        <w:rPr/>
        <w:t xml:space="preserve">One potential bias is the authors' focus on Canada as a case study for language policies affecting minority language communities. While Canada has a rich history of bilingualism and multiculturalism, other countries with diverse linguistic landscapes may have different experiences that are not adequately represented in the article.</w:t>
      </w:r>
    </w:p>
    <w:p>
      <w:pPr>
        <w:jc w:val="both"/>
      </w:pPr>
      <w:r>
        <w:rPr/>
        <w:t xml:space="preserve"/>
      </w:r>
    </w:p>
    <w:p>
      <w:pPr>
        <w:jc w:val="both"/>
      </w:pPr>
      <w:r>
        <w:rPr/>
        <w:t xml:space="preserve">Additionally, the article's emphasis on demographic, institutional control, and status variables as determinants of group vitality may overlook other important factors such as cultural identity, social networks, and individual agency. The authors acknowledge that subjective perceptions of group vitality are also important but do not fully explore how these perceptions may be shaped by power dynamics or social norms.</w:t>
      </w:r>
    </w:p>
    <w:p>
      <w:pPr>
        <w:jc w:val="both"/>
      </w:pPr>
      <w:r>
        <w:rPr/>
        <w:t xml:space="preserve"/>
      </w:r>
    </w:p>
    <w:p>
      <w:pPr>
        <w:jc w:val="both"/>
      </w:pPr>
      <w:r>
        <w:rPr/>
        <w:t xml:space="preserve">Furthermore, while the article proposes future research directions for integrating objective and subjective vitality frameworks, it does not provide concrete examples or evidence to support these proposals. The lack of empirical data or case studies to back up their claims weakens the credibility of their arguments.</w:t>
      </w:r>
    </w:p>
    <w:p>
      <w:pPr>
        <w:jc w:val="both"/>
      </w:pPr>
      <w:r>
        <w:rPr/>
        <w:t xml:space="preserve"/>
      </w:r>
    </w:p>
    <w:p>
      <w:pPr>
        <w:jc w:val="both"/>
      </w:pPr>
      <w:r>
        <w:rPr/>
        <w:t xml:space="preserve">Overall, while the article provides a useful overview of group vitality research and theory, it could benefit from more nuanced consideration of alternative perspectives and greater attention to empirical evidence.</w:t>
      </w:r>
    </w:p>
    <w:p>
      <w:pPr>
        <w:pStyle w:val="Heading1"/>
      </w:pPr>
      <w:bookmarkStart w:id="5" w:name="_Toc5"/>
      <w:r>
        <w:t>Topics for further research:</w:t>
      </w:r>
      <w:bookmarkEnd w:id="5"/>
    </w:p>
    <w:p>
      <w:pPr>
        <w:spacing w:after="0"/>
        <w:numPr>
          <w:ilvl w:val="0"/>
          <w:numId w:val="2"/>
        </w:numPr>
      </w:pPr>
      <w:r>
        <w:rPr/>
        <w:t xml:space="preserve">Multilingualism in other countries
</w:t>
      </w:r>
    </w:p>
    <w:p>
      <w:pPr>
        <w:spacing w:after="0"/>
        <w:numPr>
          <w:ilvl w:val="0"/>
          <w:numId w:val="2"/>
        </w:numPr>
      </w:pPr>
      <w:r>
        <w:rPr/>
        <w:t xml:space="preserve">Cultural identity and social networks
</w:t>
      </w:r>
    </w:p>
    <w:p>
      <w:pPr>
        <w:spacing w:after="0"/>
        <w:numPr>
          <w:ilvl w:val="0"/>
          <w:numId w:val="2"/>
        </w:numPr>
      </w:pPr>
      <w:r>
        <w:rPr/>
        <w:t xml:space="preserve">Individual agency in group vitality
</w:t>
      </w:r>
    </w:p>
    <w:p>
      <w:pPr>
        <w:spacing w:after="0"/>
        <w:numPr>
          <w:ilvl w:val="0"/>
          <w:numId w:val="2"/>
        </w:numPr>
      </w:pPr>
      <w:r>
        <w:rPr/>
        <w:t xml:space="preserve">Subjective perceptions and power dynamics
</w:t>
      </w:r>
    </w:p>
    <w:p>
      <w:pPr>
        <w:spacing w:after="0"/>
        <w:numPr>
          <w:ilvl w:val="0"/>
          <w:numId w:val="2"/>
        </w:numPr>
      </w:pPr>
      <w:r>
        <w:rPr/>
        <w:t xml:space="preserve">Concrete examples and empirical evidence
</w:t>
      </w:r>
    </w:p>
    <w:p>
      <w:pPr>
        <w:numPr>
          <w:ilvl w:val="0"/>
          <w:numId w:val="2"/>
        </w:numPr>
      </w:pPr>
      <w:r>
        <w:rPr/>
        <w:t xml:space="preserve">Alternative perspectives in group vitality research</w:t>
      </w:r>
    </w:p>
    <w:p>
      <w:pPr>
        <w:pStyle w:val="Heading1"/>
      </w:pPr>
      <w:bookmarkStart w:id="6" w:name="_Toc6"/>
      <w:r>
        <w:t>Report location:</w:t>
      </w:r>
      <w:bookmarkEnd w:id="6"/>
    </w:p>
    <w:p>
      <w:hyperlink r:id="rId8" w:history="1">
        <w:r>
          <w:rPr>
            <w:color w:val="2980b9"/>
            <w:u w:val="single"/>
          </w:rPr>
          <w:t xml:space="preserve">https://www.fullpicture.app/item/a703532e36a8bbff31e02764fc278fa6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5135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3-2lu0i5xd/assessing-40-years-of-group-vitality-research-and-future-2dkrg0j4" TargetMode="External"/><Relationship Id="rId8" Type="http://schemas.openxmlformats.org/officeDocument/2006/relationships/hyperlink" Target="https://www.fullpicture.app/item/a703532e36a8bbff31e02764fc278f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2023-04-06T05:17:04+02:00</dcterms:created>
  <dcterms:modified xsi:type="dcterms:W3CDTF">2023-04-06T05:17:04+02:00</dcterms:modified>
</cp:coreProperties>
</file>

<file path=docProps/custom.xml><?xml version="1.0" encoding="utf-8"?>
<Properties xmlns="http://schemas.openxmlformats.org/officeDocument/2006/custom-properties" xmlns:vt="http://schemas.openxmlformats.org/officeDocument/2006/docPropsVTypes"/>
</file>