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X chromosome dosage and the genetic impact across human tissues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https://pubmed.ncbi.nlm.nih.gov/36978128/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本研究对不同组织中X染色体数量对转录组和甲基化组的影响进行了全面分析。</w:t>
      </w:r>
    </w:p>
    <w:p>
      <w:pPr>
        <w:jc w:val="both"/>
      </w:pPr>
      <w:r>
        <w:rPr/>
        <w:t xml:space="preserve">2. 45,X和47,XXY表现出不同的基因表达和甲基化模式，45,X呈现整体基因下调和低甲基化，而47,XXY呈现整体基因上调和高甲基化。</w:t>
      </w:r>
    </w:p>
    <w:p>
      <w:pPr>
        <w:jc w:val="both"/>
      </w:pPr>
      <w:r>
        <w:rPr/>
        <w:t xml:space="preserve">3. 在脂肪和肌肉组织中观察到性别的显著影响，并发现Y染色体基因对X染色体基因具有调控功能。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对于上述文章的详细批判性分析，需要注意以下几个方面：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潜在偏见及其来源：文章没有明确提及作者的潜在偏见或利益冲突。这可能导致读者对研究结果的解释产生怀疑，并质疑其可靠性。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片面报道：文章只关注了X染色体数量对转录组和甲基组的影响，而忽略了其他可能的遗传因素和环境因素对人类组织的影响。这种片面报道可能导致读者对整个问题的理解不完整。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无根据的主张：文章提到X染色体数量会全局地影响所有染色体上的转录组和甲基组，但没有提供足够的证据来支持这一主张。缺乏实验证据可能使得读者难以接受这一结论。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缺失的考虑点：文章没有讨论其他可能影响SCAs表型的因素，如环境因素、遗传变异等。这种缺失可能导致读者对研究结果的解释产生怀疑，并认为作者未能全面考虑问题。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所提出主张的缺失证据：文章提到45,X和47,XXY在基因表达和甲基化方面存在不同的模式，但没有提供足够的证据来支持这一主张。缺乏实验证据可能使得读者难以接受这一结论。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未探索的反驳：文章没有探讨其他研究结果或观点与其结论相悖的情况。这种未探索可能导致读者对整个问题的理解不完整，并产生怀疑。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宣传内容和偏袒：文章没有明确指出自己的宣传目的或偏袒立场。这可能导致读者对研究结果的解释产生怀疑，并认为作者有意地选择性地呈现数据。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是否注意到可能的风险：文章没有明确讨论X染色体数量变异对人类组织功能和健康可能带来的风险。这种忽略可能使得读者对研究结果的应用和潜在风险缺乏全面了解。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没有平等地呈现双方：文章只关注了X染色体数量变异对转录组和甲基组的影响，而没有平等地考虑其他因素。这种不平等可能导致读者对整个问题的理解不完整，并认为作者有意地选择性地呈现数据。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上述文章在一些方面存在潜在的偏见、片面报道、无根据的主张、缺失的考虑点和证据，以及未探索的反驳。对于读者来说，需要保持批判性思维，并进一步研究相关领域的其他观点和证据，以获得更全面和客观的理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宣传内容和偏袒
</w:t>
      </w:r>
    </w:p>
    <w:p>
      <w:pPr>
        <w:spacing w:after="0"/>
        <w:numPr>
          <w:ilvl w:val="0"/>
          <w:numId w:val="2"/>
        </w:numPr>
      </w:pPr>
      <w:r>
        <w:rPr/>
        <w:t xml:space="preserve">是否注意到可能的风险
</w:t>
      </w:r>
    </w:p>
    <w:p>
      <w:pPr>
        <w:numPr>
          <w:ilvl w:val="0"/>
          <w:numId w:val="2"/>
        </w:numPr>
      </w:pPr>
      <w:r>
        <w:rPr/>
        <w:t xml:space="preserve">没有平等地呈现双方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https://www.fullpicture.app/item/a61b31026cb79b7c132c91be1c601e88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ACEE2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978128/" TargetMode="External"/><Relationship Id="rId8" Type="http://schemas.openxmlformats.org/officeDocument/2006/relationships/hyperlink" Target="https://www.fullpicture.app/item/a61b31026cb79b7c132c91be1c601e8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2024-04-21T09:44:06+02:00</dcterms:created>
  <dcterms:modified xsi:type="dcterms:W3CDTF">2024-04-21T09:44:06+02:00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