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effective and chemotherapy-free strategy of all-trans retinoic acid and arsenic trioxide for acute promyelocytic leukemia in all risk groups (APL15 trial) - PMC</w:t>
      </w:r>
      <w:br/>
      <w:hyperlink r:id="rId7" w:history="1">
        <w:r>
          <w:rPr>
            <w:color w:val="2980b9"/>
            <w:u w:val="single"/>
          </w:rPr>
          <w:t xml:space="preserve">https://www.ncbi.nlm.nih.gov/pmc/articles/PMC9676182/</w:t>
        </w:r>
      </w:hyperlink>
    </w:p>
    <w:p>
      <w:pPr>
        <w:pStyle w:val="Heading1"/>
      </w:pPr>
      <w:bookmarkStart w:id="2" w:name="_Toc2"/>
      <w:r>
        <w:t>Article summary:</w:t>
      </w:r>
      <w:bookmarkEnd w:id="2"/>
    </w:p>
    <w:p>
      <w:pPr>
        <w:jc w:val="both"/>
      </w:pPr>
      <w:r>
        <w:rPr/>
        <w:t xml:space="preserve">1. A combination of all-trans retinoic acid (ATRA) and arsenic trioxide (ATO) is an effective and chemotherapy-free strategy for treating acute promyelocytic leukemia (APL) in all risk groups.</w:t>
      </w:r>
    </w:p>
    <w:p>
      <w:pPr>
        <w:jc w:val="both"/>
      </w:pPr>
      <w:r>
        <w:rPr/>
        <w:t xml:space="preserve">2. The efficacy of ATRA-ATO compared to ATRA-ATO plus chemotherapy (CHT) in high-risk APL is similar, with both treatment options resulting in high rates of complete remission and disease-free survival.</w:t>
      </w:r>
    </w:p>
    <w:p>
      <w:pPr>
        <w:jc w:val="both"/>
      </w:pPr>
      <w:r>
        <w:rPr/>
        <w:t xml:space="preserve">3. This randomized multi-center non-inferiority phase III study provides evidence supporting the use of ATRA-ATO as a standard treatment option for newly diagnosed all-risk APL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该文章是一篇关于急性早幼粒细胞白血病（APL）治疗的研究，探讨了全反式维甲酸和三氧化二砷联合治疗在不同风险组患者中的有效性。然而，该文章存在一些潜在的偏见和问题。</w:t>
      </w:r>
    </w:p>
    <w:p>
      <w:pPr>
        <w:jc w:val="both"/>
      </w:pPr>
      <w:r>
        <w:rPr/>
        <w:t xml:space="preserve"/>
      </w:r>
    </w:p>
    <w:p>
      <w:pPr>
        <w:jc w:val="both"/>
      </w:pPr>
      <w:r>
        <w:rPr/>
        <w:t xml:space="preserve">首先，该文章没有提及可能存在的副作用和风险。虽然全反式维甲酸和三氧化二砷联合治疗已被证明是一种有效的治疗方法，但这种治疗方案也可能导致严重的副作用，如心律失常、肝功能异常等。因此，在评估其有效性时应考虑到这些风险。</w:t>
      </w:r>
    </w:p>
    <w:p>
      <w:pPr>
        <w:jc w:val="both"/>
      </w:pPr>
      <w:r>
        <w:rPr/>
        <w:t xml:space="preserve"/>
      </w:r>
    </w:p>
    <w:p>
      <w:pPr>
        <w:jc w:val="both"/>
      </w:pPr>
      <w:r>
        <w:rPr/>
        <w:t xml:space="preserve">其次，该文章没有充分探讨其他可能影响结果的因素。例如，该研究是否考虑了患者年龄、基线白细胞计数、遗传变异等因素对结果的影响？如果没有考虑这些因素，则结果可能会受到偏差。</w:t>
      </w:r>
    </w:p>
    <w:p>
      <w:pPr>
        <w:jc w:val="both"/>
      </w:pPr>
      <w:r>
        <w:rPr/>
        <w:t xml:space="preserve"/>
      </w:r>
    </w:p>
    <w:p>
      <w:pPr>
        <w:jc w:val="both"/>
      </w:pPr>
      <w:r>
        <w:rPr/>
        <w:t xml:space="preserve">此外，该文章未提供足够的证据来支持其主张。尽管作者声称全反式维甲酸和三氧化二砷联合治疗在所有风险组中都具有相同的有效性，但他们并未提供足够的数据来支持这一主张。此外，在高风险组中使用联合化学治疗是否会改善预后仍需进一步验证。</w:t>
      </w:r>
    </w:p>
    <w:p>
      <w:pPr>
        <w:jc w:val="both"/>
      </w:pPr>
      <w:r>
        <w:rPr/>
        <w:t xml:space="preserve"/>
      </w:r>
    </w:p>
    <w:p>
      <w:pPr>
        <w:jc w:val="both"/>
      </w:pPr>
      <w:r>
        <w:rPr/>
        <w:t xml:space="preserve">最后，该文章缺乏平衡报道双方观点的内容。尽管作者声称他们进行了随机多中心非劣效性III期试验来比较两种不同治疗方案之间的有效性，并得出结论认为两种方案具有相同效果，但他们并未探讨其他专家或机构对这个问题所持有的不同观点。</w:t>
      </w:r>
    </w:p>
    <w:p>
      <w:pPr>
        <w:jc w:val="both"/>
      </w:pPr>
      <w:r>
        <w:rPr/>
        <w:t xml:space="preserve"/>
      </w:r>
    </w:p>
    <w:p>
      <w:pPr>
        <w:jc w:val="both"/>
      </w:pPr>
      <w:r>
        <w:rPr/>
        <w:t xml:space="preserve">总之，尽管该文章提供了有关全反式维甲酸和三氧化二砷联合治疗在APL患者中有效性方面的新信息，但它也存在一些潜在偏见和问题需要进一步探讨和解决。</w:t>
      </w:r>
    </w:p>
    <w:p>
      <w:pPr>
        <w:pStyle w:val="Heading1"/>
      </w:pPr>
      <w:bookmarkStart w:id="5" w:name="_Toc5"/>
      <w:r>
        <w:t>Topics for further research:</w:t>
      </w:r>
      <w:bookmarkEnd w:id="5"/>
    </w:p>
    <w:p>
      <w:pPr>
        <w:spacing w:after="0"/>
        <w:numPr>
          <w:ilvl w:val="0"/>
          <w:numId w:val="2"/>
        </w:numPr>
      </w:pPr>
      <w:r>
        <w:rPr/>
        <w:t xml:space="preserve">Potential side effects and risks of the treatment
</w:t>
      </w:r>
    </w:p>
    <w:p>
      <w:pPr>
        <w:spacing w:after="0"/>
        <w:numPr>
          <w:ilvl w:val="0"/>
          <w:numId w:val="2"/>
        </w:numPr>
      </w:pPr>
      <w:r>
        <w:rPr/>
        <w:t xml:space="preserve">Other factors that may affect the results</w:t>
      </w:r>
    </w:p>
    <w:p>
      <w:pPr>
        <w:spacing w:after="0"/>
        <w:numPr>
          <w:ilvl w:val="0"/>
          <w:numId w:val="2"/>
        </w:numPr>
      </w:pPr>
      <w:r>
        <w:rPr/>
        <w:t xml:space="preserve">such as age and genetic variations
</w:t>
      </w:r>
    </w:p>
    <w:p>
      <w:pPr>
        <w:spacing w:after="0"/>
        <w:numPr>
          <w:ilvl w:val="0"/>
          <w:numId w:val="2"/>
        </w:numPr>
      </w:pPr>
      <w:r>
        <w:rPr/>
        <w:t xml:space="preserve">Insufficient evidence to support the claims made in the article
4 Need for further validation of the effectiveness of combination chemotherapy in high-risk groups
</w:t>
      </w:r>
    </w:p>
    <w:p>
      <w:pPr>
        <w:spacing w:after="0"/>
        <w:numPr>
          <w:ilvl w:val="0"/>
          <w:numId w:val="2"/>
        </w:numPr>
      </w:pPr>
      <w:r>
        <w:rPr/>
        <w:t xml:space="preserve">Lack balanced reporting of different perspectives on the issue
</w:t>
      </w:r>
    </w:p>
    <w:p>
      <w:pPr>
        <w:numPr>
          <w:ilvl w:val="0"/>
          <w:numId w:val="2"/>
        </w:numPr>
      </w:pPr>
      <w:r>
        <w:rPr/>
        <w:t xml:space="preserve">The need for further exploration and resolution potential biases and issues in the article.</w:t>
      </w:r>
    </w:p>
    <w:p>
      <w:pPr>
        <w:pStyle w:val="Heading1"/>
      </w:pPr>
      <w:bookmarkStart w:id="6" w:name="_Toc6"/>
      <w:r>
        <w:t>Report location:</w:t>
      </w:r>
      <w:bookmarkEnd w:id="6"/>
    </w:p>
    <w:p>
      <w:hyperlink r:id="rId8" w:history="1">
        <w:r>
          <w:rPr>
            <w:color w:val="2980b9"/>
            <w:u w:val="single"/>
          </w:rPr>
          <w:t xml:space="preserve">https://www.fullpicture.app/item/a585d031f52833893a34a86945f094c4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B88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76182/" TargetMode="External"/><Relationship Id="rId8" Type="http://schemas.openxmlformats.org/officeDocument/2006/relationships/hyperlink" Target="https://www.fullpicture.app/item/a585d031f52833893a34a86945f094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2023-12-09T11:03:36+01:00</dcterms:created>
  <dcterms:modified xsi:type="dcterms:W3CDTF">2023-12-09T11:03:36+01:00</dcterms:modified>
</cp:coreProperties>
</file>

<file path=docProps/custom.xml><?xml version="1.0" encoding="utf-8"?>
<Properties xmlns="http://schemas.openxmlformats.org/officeDocument/2006/custom-properties" xmlns:vt="http://schemas.openxmlformats.org/officeDocument/2006/docPropsVTypes"/>
</file>