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Který z vydavatelů poskytl hráčům v loňském roce ty nejlepší hry? | GAMES.CZ</w:t>
      </w:r>
      <w:br/>
      <w:hyperlink r:id="rId7" w:history="1">
        <w:r>
          <w:rPr>
            <w:color w:val="2980b9"/>
            <w:u w:val="single"/>
          </w:rPr>
          <w:t xml:space="preserve">https://games.tiscali.cz/novinky/ktery-z-vydavatelu-poskytl-hracum-v-lonskem-roce-ty-nejlepsi-hry-553471</w:t>
        </w:r>
      </w:hyperlink>
    </w:p>
    <w:p>
      <w:pPr>
        <w:pStyle w:val="Heading1"/>
      </w:pPr>
      <w:bookmarkStart w:id="2" w:name="_Toc2"/>
      <w:r>
        <w:t>Article summary:</w:t>
      </w:r>
      <w:bookmarkEnd w:id="2"/>
    </w:p>
    <w:p>
      <w:pPr>
        <w:jc w:val="both"/>
      </w:pPr>
      <w:r>
        <w:rPr/>
        <w:t xml:space="preserve">1. Agregát Metacritic zveřejnil žebříček 45 herních společností, které vydaly alespoň pět samostatných her v loňském roce.</w:t>
      </w:r>
    </w:p>
    <w:p>
      <w:pPr>
        <w:jc w:val="both"/>
      </w:pPr>
      <w:r>
        <w:rPr/>
        <w:t xml:space="preserve">2. Sony se umístilo na prvním místě s průměrným skóre 85,6 díky hře God of War: Ragnarök a PC portu God of War.</w:t>
      </w:r>
    </w:p>
    <w:p>
      <w:pPr>
        <w:jc w:val="both"/>
      </w:pPr>
      <w:r>
        <w:rPr/>
        <w:t xml:space="preserve">3. PlayWay/Ultimate Games obsadil poslední 45. pozici s průměrným hodnocením jejich titulů 58, zatímco Ubisoft zabral 38 příčku a Square Enix skončil na 26. místě.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Tento článek se zaměřuje na žebříček herních vydavatelů podle průměrného skóre jejich her na Metacriticu v roce 2022. Článek uvádí, že do hodnocení se promítají pouze kritické recenze a nehledí se na prodeje nebo hodnocení uživatelů. První příčku zaujímá Sony s průměrným skóre 85,6, následované Paradox Interactive a Activision Blizzard.</w:t>
      </w:r>
    </w:p>
    <w:p>
      <w:pPr>
        <w:jc w:val="both"/>
      </w:pPr>
      <w:r>
        <w:rPr/>
        <w:t xml:space="preserve"/>
      </w:r>
    </w:p>
    <w:p>
      <w:pPr>
        <w:jc w:val="both"/>
      </w:pPr>
      <w:r>
        <w:rPr/>
        <w:t xml:space="preserve">Článek obsahuje několik potenciálních předsudků a jednostranných zpravodajských úhlů. Například autor článku zdůrazňuje, že do hodnocení se promítají pouze kritické recenze, což může být problematické, protože názory kritiků nemusí vždy odrážet preference hráčů. Dále článek nezmiňuje možné protiargumenty ke každému umístění v žebříčku a neposkytuje důkazy pro učiněná tvrzení.</w:t>
      </w:r>
    </w:p>
    <w:p>
      <w:pPr>
        <w:jc w:val="both"/>
      </w:pPr>
      <w:r>
        <w:rPr/>
        <w:t xml:space="preserve"/>
      </w:r>
    </w:p>
    <w:p>
      <w:pPr>
        <w:jc w:val="both"/>
      </w:pPr>
      <w:r>
        <w:rPr/>
        <w:t xml:space="preserve">Autor také zdůrazňuje úspěchy Sony a Activision Blizzard, ale nezmiňuje jejich kontroverzní chování v minulosti, jako jsou například problémy s pracovními podmínkami ve studiích nebo kontroverzní rozhodnutí ohledně her. Článek také nezmiňuje, že některé vydavatelské společnosti mohou mít menší rozpočty a zdroje než ostatní, což může ovlivnit kvalitu jejich her.</w:t>
      </w:r>
    </w:p>
    <w:p>
      <w:pPr>
        <w:jc w:val="both"/>
      </w:pPr>
      <w:r>
        <w:rPr/>
        <w:t xml:space="preserve"/>
      </w:r>
    </w:p>
    <w:p>
      <w:pPr>
        <w:jc w:val="both"/>
      </w:pPr>
      <w:r>
        <w:rPr/>
        <w:t xml:space="preserve">Celkově lze říci, že tento článek poskytuje užitečné informace o žebříčku herních vydavatelů na Metacriticu v roce 2022, ale je důležité brát v úvahu jeho předsudky a jednostrannost. Je třeba být obezřetní při interpretaci těchto výsledků a vzít v úvahu i další faktory, jako jsou preference hráčů a kontroverzní chování některých vydavatelů.</w:t>
      </w:r>
    </w:p>
    <w:p>
      <w:pPr>
        <w:pStyle w:val="Heading1"/>
      </w:pPr>
      <w:bookmarkStart w:id="5" w:name="_Toc5"/>
      <w:r>
        <w:t>Topics for further research:</w:t>
      </w:r>
      <w:bookmarkEnd w:id="5"/>
    </w:p>
    <w:p>
      <w:pPr>
        <w:spacing w:after="0"/>
        <w:numPr>
          <w:ilvl w:val="0"/>
          <w:numId w:val="2"/>
        </w:numPr>
      </w:pPr>
      <w:r>
        <w:rPr/>
        <w:t xml:space="preserve">Kontroverzní chování herních vydavatelů v minulosti
</w:t>
      </w:r>
    </w:p>
    <w:p>
      <w:pPr>
        <w:spacing w:after="0"/>
        <w:numPr>
          <w:ilvl w:val="0"/>
          <w:numId w:val="2"/>
        </w:numPr>
      </w:pPr>
      <w:r>
        <w:rPr/>
        <w:t xml:space="preserve">Vliv preference hráčů na hodnocení her
</w:t>
      </w:r>
    </w:p>
    <w:p>
      <w:pPr>
        <w:spacing w:after="0"/>
        <w:numPr>
          <w:ilvl w:val="0"/>
          <w:numId w:val="2"/>
        </w:numPr>
      </w:pPr>
      <w:r>
        <w:rPr/>
        <w:t xml:space="preserve">Rozpočet a zdroje herních vydavatelů a jejich vliv na kvalitu her
</w:t>
      </w:r>
    </w:p>
    <w:p>
      <w:pPr>
        <w:spacing w:after="0"/>
        <w:numPr>
          <w:ilvl w:val="0"/>
          <w:numId w:val="2"/>
        </w:numPr>
      </w:pPr>
      <w:r>
        <w:rPr/>
        <w:t xml:space="preserve">Metodika hodnocení her na Metacriticu a její omezení
</w:t>
      </w:r>
    </w:p>
    <w:p>
      <w:pPr>
        <w:spacing w:after="0"/>
        <w:numPr>
          <w:ilvl w:val="0"/>
          <w:numId w:val="2"/>
        </w:numPr>
      </w:pPr>
      <w:r>
        <w:rPr/>
        <w:t xml:space="preserve">Vývoj herního průmyslu a jeho vliv na vydavatele her
</w:t>
      </w:r>
    </w:p>
    <w:p>
      <w:pPr>
        <w:numPr>
          <w:ilvl w:val="0"/>
          <w:numId w:val="2"/>
        </w:numPr>
      </w:pPr>
      <w:r>
        <w:rPr/>
        <w:t xml:space="preserve">Konkurence mezi herními vydavateli a její vliv na kvalitu her.</w:t>
      </w:r>
    </w:p>
    <w:p>
      <w:pPr>
        <w:pStyle w:val="Heading1"/>
      </w:pPr>
      <w:bookmarkStart w:id="6" w:name="_Toc6"/>
      <w:r>
        <w:t>Report location:</w:t>
      </w:r>
      <w:bookmarkEnd w:id="6"/>
    </w:p>
    <w:p>
      <w:hyperlink r:id="rId8" w:history="1">
        <w:r>
          <w:rPr>
            <w:color w:val="2980b9"/>
            <w:u w:val="single"/>
          </w:rPr>
          <w:t xml:space="preserve">https://www.fullpicture.app/item/a55f0e91db6afb0934d2f0bae543d76e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4C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iscali.cz/novinky/ktery-z-vydavatelu-poskytl-hracum-v-lonskem-roce-ty-nejlepsi-hry-553471" TargetMode="External"/><Relationship Id="rId8" Type="http://schemas.openxmlformats.org/officeDocument/2006/relationships/hyperlink" Target="https://www.fullpicture.app/item/a55f0e91db6afb0934d2f0bae543d7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2024-01-09T22:14:17+01:00</dcterms:created>
  <dcterms:modified xsi:type="dcterms:W3CDTF">2024-01-09T22:14:17+01:00</dcterms:modified>
</cp:coreProperties>
</file>

<file path=docProps/custom.xml><?xml version="1.0" encoding="utf-8"?>
<Properties xmlns="http://schemas.openxmlformats.org/officeDocument/2006/custom-properties" xmlns:vt="http://schemas.openxmlformats.org/officeDocument/2006/docPropsVTypes"/>
</file>