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attributable mortality of sepsis for acute kidney injury: a propensity-matched analysis based on multicenter prospective cohort study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https://pubmed.ncbi.nlm.nih.gov/36637012/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这项研究旨在评估败血症对急性肾损伤（AKI）的过度死亡率。研究使用多中心前瞻性队列研究的倾向匹配分析方法，对中国18个重症监护室的AKI患者进行了分析。</w:t>
      </w:r>
    </w:p>
    <w:p>
      <w:pPr>
        <w:jc w:val="both"/>
      </w:pPr>
      <w:r>
        <w:rPr/>
        <w:t xml:space="preserve">2. 研究结果显示，在与无败血症的AKI患者进行匹配后，有败血症的AKI患者的住院死亡率为33.1%，而无败血症的匹配组为24.0%。总体而言，败血症对AKI患者的可归因死亡率为9.1%。</w:t>
      </w:r>
    </w:p>
    <w:p>
      <w:pPr>
        <w:jc w:val="both"/>
      </w:pPr>
      <w:r>
        <w:rPr/>
        <w:t xml:space="preserve">3. 进一步分析发现，有53.0%被诊断为感染性休克的有败血症患者，其可归因死亡率为16.2%，高于仅有败血症的患者。此外，仅有败血症对AKI的可归因死亡率为1.4%。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总结：这项多中心前瞻性队列研究发现，在急性肾损伤（AKI）患者中，败血症导致了9.1%的住院死亡率。感染性休克对AKI的死亡率贡献更大，为16.2%。仅有败血症对AKI的可归因死亡率较低，为1.4%。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这篇文章是一项基于多中心前瞻性队列研究的倾向匹配分析，旨在评估败血症对急性肾损伤（AKI）的过度死亡率。文章提供了一些有关该主题的数据和结果，但也存在一些潜在的偏见和问题。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明确提及是否进行了随机分组或盲法操作。如果没有采取适当的随机化措施，可能存在选择偏差和信息偏差。此外，由于作者没有提供详细的方法描述，读者无法判断是否存在其他潜在的混杂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其次，文章只涉及中国18个重症监护病房（ICU）中的患者，并未考虑其他地区或国家的数据。这种局限性可能导致结果不具有普遍适用性，并且不能代表全球范围内AKI患者与败血症之间的关系。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此外，在讨论部分中，作者声称败血症对AKI患者的过度死亡率为9.1％。然而，在整个文本中并未提供足够的证据来支持这一主张。缺乏详细数据和统计分析使得读者很难验证作者的结论。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此外，文章没有探讨可能的风险因素或干预措施。例如，是否有其他并发症或治疗方法可能影响败血症对AKI患者的死亡率？这些因素是否被纳入考虑？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最后，文章没有提供平等地呈现双方观点的平衡报道。它似乎更加关注败血症对AKI患者死亡率的影响，而忽视了其他可能的因素和解释。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综上所述，这篇文章在评估败血症对AKI患者死亡率的过程中存在一些潜在偏见和问题。读者应该谨慎对待其中提出的结论，并寻找更多相关研究来验证这些结果。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随机分组或盲法操作
</w:t>
      </w:r>
    </w:p>
    <w:p>
      <w:pPr>
        <w:spacing w:after="0"/>
        <w:numPr>
          <w:ilvl w:val="0"/>
          <w:numId w:val="2"/>
        </w:numPr>
      </w:pPr>
      <w:r>
        <w:rPr/>
        <w:t xml:space="preserve">潜在的混杂因素
</w:t>
      </w:r>
    </w:p>
    <w:p>
      <w:pPr>
        <w:spacing w:after="0"/>
        <w:numPr>
          <w:ilvl w:val="0"/>
          <w:numId w:val="2"/>
        </w:numPr>
      </w:pPr>
      <w:r>
        <w:rPr/>
        <w:t xml:space="preserve">其他地区或国家的数据
</w:t>
      </w:r>
    </w:p>
    <w:p>
      <w:pPr>
        <w:spacing w:after="0"/>
        <w:numPr>
          <w:ilvl w:val="0"/>
          <w:numId w:val="2"/>
        </w:numPr>
      </w:pPr>
      <w:r>
        <w:rPr/>
        <w:t xml:space="preserve">足够的证据来支持结论
</w:t>
      </w:r>
    </w:p>
    <w:p>
      <w:pPr>
        <w:spacing w:after="0"/>
        <w:numPr>
          <w:ilvl w:val="0"/>
          <w:numId w:val="2"/>
        </w:numPr>
      </w:pPr>
      <w:r>
        <w:rPr/>
        <w:t xml:space="preserve">可能的风险因素或干预措施
</w:t>
      </w:r>
    </w:p>
    <w:p>
      <w:pPr>
        <w:numPr>
          <w:ilvl w:val="0"/>
          <w:numId w:val="2"/>
        </w:numPr>
      </w:pPr>
      <w:r>
        <w:rPr/>
        <w:t xml:space="preserve">平等地呈现双方观点的平衡报道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https://www.fullpicture.app/item/a375c90c3290d1ef73510aaedd299617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9922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637012/" TargetMode="External"/><Relationship Id="rId8" Type="http://schemas.openxmlformats.org/officeDocument/2006/relationships/hyperlink" Target="https://www.fullpicture.app/item/a375c90c3290d1ef73510aaedd29961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2024-04-22T21:15:39+02:00</dcterms:created>
  <dcterms:modified xsi:type="dcterms:W3CDTF">2024-04-22T21:15:39+02:00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