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Restoring metabolism of myeloid cells reverses cognitive decline in ageing - PMC</w:t>
      </w:r>
      <w:br/>
      <w:hyperlink r:id="rId7" w:history="1">
        <w:r>
          <w:rPr>
            <w:color w:val="2980b9"/>
            <w:u w:val="single"/>
          </w:rPr>
          <w:t xml:space="preserve">https://www.ncbi.nlm.nih.gov/pmc/articles/PMC8274816/</w:t>
        </w:r>
      </w:hyperlink>
    </w:p>
    <w:p>
      <w:pPr>
        <w:pStyle w:val="Heading1"/>
      </w:pPr>
      <w:bookmarkStart w:id="2" w:name="_Toc2"/>
      <w:r>
        <w:t>Article summary:</w:t>
      </w:r>
      <w:bookmarkEnd w:id="2"/>
    </w:p>
    <w:p>
      <w:pPr>
        <w:jc w:val="both"/>
      </w:pPr>
      <w:r>
        <w:rPr/>
        <w:t xml:space="preserve">1. Ageing is associated with persistent pro-inflammatory responses that contribute to various health conditions, including cognitive decline and Alzheimer's disease.</w:t>
      </w:r>
    </w:p>
    <w:p>
      <w:pPr>
        <w:jc w:val="both"/>
      </w:pPr>
      <w:r>
        <w:rPr/>
        <w:t xml:space="preserve">2. In ageing mice, myeloid cell bioenergetics are suppressed due to increased signalling by prostaglandin E2 (PGE2), leading to reduced glucose flux and mitochondrial respiration.</w:t>
      </w:r>
    </w:p>
    <w:p>
      <w:pPr>
        <w:jc w:val="both"/>
      </w:pPr>
      <w:r>
        <w:rPr/>
        <w:t xml:space="preserve">3. Inhibition of myeloid EP2 signalling in aged mice rejuvenates cellular bioenergetics, reduces inflammation, improves synaptic plasticity and spatial memory, suggesting that cognitive ageing can be reversed by restoring youthful immune functions through reprogramming myeloid glucose metabolism.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对于上述文章的详细批判性分析，需要先阅读全文以获取更多信息。由于只提供了文章的标题和一部分开头内容，无法进行全面的评估和分析。请提供完整的文章内容以便进行更准确的批判性分析。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https://www.fullpicture.app/item/a308e6d8b7b6d8632cbe652c9727f2a7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04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74816/" TargetMode="External"/><Relationship Id="rId8" Type="http://schemas.openxmlformats.org/officeDocument/2006/relationships/hyperlink" Target="https://www.fullpicture.app/item/a308e6d8b7b6d8632cbe652c9727f2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2024-03-10T18:56:18+01:00</dcterms:created>
  <dcterms:modified xsi:type="dcterms:W3CDTF">2024-03-10T18:56:18+01:00</dcterms:modified>
</cp:coreProperties>
</file>

<file path=docProps/custom.xml><?xml version="1.0" encoding="utf-8"?>
<Properties xmlns="http://schemas.openxmlformats.org/officeDocument/2006/custom-properties" xmlns:vt="http://schemas.openxmlformats.org/officeDocument/2006/docPropsVTypes"/>
</file>