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Fixed-income fund performance: Role of luck and ability in tail membership - ScienceDirect</w:t>
      </w:r>
      <w:br/>
      <w:hyperlink r:id="rId7" w:history="1">
        <w:r>
          <w:rPr>
            <w:color w:val="2980b9"/>
            <w:u w:val="single"/>
          </w:rPr>
          <w:t xml:space="preserve">https://vpn.jlu.edu.cn/https/44696469646131313237446964696461bd6feb2610cba212c258e268de7790f17702c29fe5/science/article/pii/S092753981100017X?via%3Dihub=</w:t>
        </w:r>
      </w:hyperlink>
    </w:p>
    <w:p>
      <w:pPr>
        <w:pStyle w:val="Heading1"/>
      </w:pPr>
      <w:bookmarkStart w:id="2" w:name="_Toc2"/>
      <w:r>
        <w:t>Article summary:</w:t>
      </w:r>
      <w:bookmarkEnd w:id="2"/>
    </w:p>
    <w:p>
      <w:pPr>
        <w:jc w:val="both"/>
      </w:pPr>
      <w:r>
        <w:rPr/>
        <w:t xml:space="preserve">1. 文章研究了加拿大债券基金的绩效表现，发现在考虑管理相关成本之后，这些基金的风险调整绩效为负，并且对于收益生成过程的选择不太敏感。通过区块自助法检查极端尾部基金，发现“厄运”导致极端左尾基金在成本之前表现不佳。</w:t>
      </w:r>
    </w:p>
    <w:p>
      <w:pPr>
        <w:jc w:val="both"/>
      </w:pPr>
      <w:r>
        <w:rPr/>
        <w:t xml:space="preserve"/>
      </w:r>
    </w:p>
    <w:p>
      <w:pPr>
        <w:jc w:val="both"/>
      </w:pPr>
      <w:r>
        <w:rPr/>
        <w:t xml:space="preserve">2. 文章指出，大多数债券基金绩效研究依赖于传统资产定价模型，如反映利率和股票价格变动的两因素模型。以及使用相对定价APT模型来评估欧洲和美国大样本债券基金的表现。</w:t>
      </w:r>
    </w:p>
    <w:p>
      <w:pPr>
        <w:jc w:val="both"/>
      </w:pPr>
      <w:r>
        <w:rPr/>
        <w:t xml:space="preserve"/>
      </w:r>
    </w:p>
    <w:p>
      <w:pPr>
        <w:jc w:val="both"/>
      </w:pPr>
      <w:r>
        <w:rPr/>
        <w:t xml:space="preserve">3. 作者认为没有任何一个基金具有真正优越的管理技能，而极端尾部基金的表现主要受到“厄运”的影响，而非管理能力。文章强调了运气和能力在债券基金绩效中的作用。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固定收益基金绩效进行了分析，但存在一些潜在的偏见和问题。首先，文章提到大多数学术文献都集中在股票而非债券（固定收益）互惠基金上，这可能导致对债券基金绩效评估的不足关注。这种偏见可能会影响作者对债券基金表现的全面性评估。</w:t>
      </w:r>
    </w:p>
    <w:p>
      <w:pPr>
        <w:jc w:val="both"/>
      </w:pPr>
      <w:r>
        <w:rPr/>
        <w:t xml:space="preserve"/>
      </w:r>
    </w:p>
    <w:p>
      <w:pPr>
        <w:jc w:val="both"/>
      </w:pPr>
      <w:r>
        <w:rPr/>
        <w:t xml:space="preserve">其次，文章提到加拿大债券基金相对于美国和欧洲的表现可能有所不同，但未提及其他国家或地区的情况。这种片面报道可能导致读者对全球范围内债券基金绩效的理解不够全面。</w:t>
      </w:r>
    </w:p>
    <w:p>
      <w:pPr>
        <w:jc w:val="both"/>
      </w:pPr>
      <w:r>
        <w:rPr/>
        <w:t xml:space="preserve"/>
      </w:r>
    </w:p>
    <w:p>
      <w:pPr>
        <w:jc w:val="both"/>
      </w:pPr>
      <w:r>
        <w:rPr/>
        <w:t xml:space="preserve">此外，文章声称没有发现任何基金具有真正优越的管理技能，但未提供充分的证据来支持这一主张。缺乏具体数据和案例分析可能使得该结论缺乏说服力。</w:t>
      </w:r>
    </w:p>
    <w:p>
      <w:pPr>
        <w:jc w:val="both"/>
      </w:pPr>
      <w:r>
        <w:rPr/>
        <w:t xml:space="preserve"/>
      </w:r>
    </w:p>
    <w:p>
      <w:pPr>
        <w:jc w:val="both"/>
      </w:pPr>
      <w:r>
        <w:rPr/>
        <w:t xml:space="preserve">另外，文章未探讨可能存在的风险因素或其他影响债券基金绩效的因素。缺乏对市场环境、宏观经济变化等因素的考虑可能使得文章的结论局限于特定条件下的情况。</w:t>
      </w:r>
    </w:p>
    <w:p>
      <w:pPr>
        <w:jc w:val="both"/>
      </w:pPr>
      <w:r>
        <w:rPr/>
        <w:t xml:space="preserve"/>
      </w:r>
    </w:p>
    <w:p>
      <w:pPr>
        <w:jc w:val="both"/>
      </w:pPr>
      <w:r>
        <w:rPr/>
        <w:t xml:space="preserve">最后，文章没有平等地呈现双方观点，并且缺乏探讨反驳意见或其他观点。这种单一视角可能导致读者对债券基金绩效形成偏颇或不完整的认识。</w:t>
      </w:r>
    </w:p>
    <w:p>
      <w:pPr>
        <w:jc w:val="both"/>
      </w:pPr>
      <w:r>
        <w:rPr/>
        <w:t xml:space="preserve"/>
      </w:r>
    </w:p>
    <w:p>
      <w:pPr>
        <w:jc w:val="both"/>
      </w:pPr>
      <w:r>
        <w:rPr/>
        <w:t xml:space="preserve">总体而言，这篇文章在分析固定收益基金绩效时存在一些潜在偏见和问题，需要更全面、客观地考虑各种因素才能得出准确和可靠的结论。</w:t>
      </w:r>
    </w:p>
    <w:p>
      <w:pPr>
        <w:pStyle w:val="Heading1"/>
      </w:pPr>
      <w:bookmarkStart w:id="5" w:name="_Toc5"/>
      <w:r>
        <w:t>Topics for further research:</w:t>
      </w:r>
      <w:bookmarkEnd w:id="5"/>
    </w:p>
    <w:p>
      <w:pPr>
        <w:spacing w:after="0"/>
        <w:numPr>
          <w:ilvl w:val="0"/>
          <w:numId w:val="2"/>
        </w:numPr>
      </w:pPr>
      <w:r>
        <w:rPr/>
        <w:t xml:space="preserve">固定收益基金绩效评估的方法
</w:t>
      </w:r>
    </w:p>
    <w:p>
      <w:pPr>
        <w:spacing w:after="0"/>
        <w:numPr>
          <w:ilvl w:val="0"/>
          <w:numId w:val="2"/>
        </w:numPr>
      </w:pPr>
      <w:r>
        <w:rPr/>
        <w:t xml:space="preserve">全球范围内不同地区债券基金的表现比较
</w:t>
      </w:r>
    </w:p>
    <w:p>
      <w:pPr>
        <w:spacing w:after="0"/>
        <w:numPr>
          <w:ilvl w:val="0"/>
          <w:numId w:val="2"/>
        </w:numPr>
      </w:pPr>
      <w:r>
        <w:rPr/>
        <w:t xml:space="preserve">基金管理技能的评估标准和案例分析
</w:t>
      </w:r>
    </w:p>
    <w:p>
      <w:pPr>
        <w:spacing w:after="0"/>
        <w:numPr>
          <w:ilvl w:val="0"/>
          <w:numId w:val="2"/>
        </w:numPr>
      </w:pPr>
      <w:r>
        <w:rPr/>
        <w:t xml:space="preserve">市场环境和宏观经济变化对债券基金绩效的影响
</w:t>
      </w:r>
    </w:p>
    <w:p>
      <w:pPr>
        <w:spacing w:after="0"/>
        <w:numPr>
          <w:ilvl w:val="0"/>
          <w:numId w:val="2"/>
        </w:numPr>
      </w:pPr>
      <w:r>
        <w:rPr/>
        <w:t xml:space="preserve">风险因素在固定收益基金绩效中的作用
</w:t>
      </w:r>
    </w:p>
    <w:p>
      <w:pPr>
        <w:numPr>
          <w:ilvl w:val="0"/>
          <w:numId w:val="2"/>
        </w:numPr>
      </w:pPr>
      <w:r>
        <w:rPr/>
        <w:t xml:space="preserve">对固定收益基金绩效进行全面、客观分析的重要性</w:t>
      </w:r>
    </w:p>
    <w:p>
      <w:pPr>
        <w:pStyle w:val="Heading1"/>
      </w:pPr>
      <w:bookmarkStart w:id="6" w:name="_Toc6"/>
      <w:r>
        <w:t>Report location:</w:t>
      </w:r>
      <w:bookmarkEnd w:id="6"/>
    </w:p>
    <w:p>
      <w:hyperlink r:id="rId8" w:history="1">
        <w:r>
          <w:rPr>
            <w:color w:val="2980b9"/>
            <w:u w:val="single"/>
          </w:rPr>
          <w:t xml:space="preserve">https://www.fullpicture.app/item/a2948778b555cd5c9d42340a6f297446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3D5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92753981100017X?via%3Dihub=" TargetMode="External"/><Relationship Id="rId8" Type="http://schemas.openxmlformats.org/officeDocument/2006/relationships/hyperlink" Target="https://www.fullpicture.app/item/a2948778b555cd5c9d42340a6f2974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2024-03-10T07:56:59+01:00</dcterms:created>
  <dcterms:modified xsi:type="dcterms:W3CDTF">2024-03-10T07:56:59+01:00</dcterms:modified>
</cp:coreProperties>
</file>

<file path=docProps/custom.xml><?xml version="1.0" encoding="utf-8"?>
<Properties xmlns="http://schemas.openxmlformats.org/officeDocument/2006/custom-properties" xmlns:vt="http://schemas.openxmlformats.org/officeDocument/2006/docPropsVTypes"/>
</file>