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Electronic Commerce Directive (Hatred against Persons on Religious Grounds or the Grounds of Sexual Orientation) Regulations 2010</w:t>
      </w:r>
      <w:br/>
      <w:hyperlink r:id="rId7" w:history="1">
        <w:r>
          <w:rPr>
            <w:color w:val="2980b9"/>
            <w:u w:val="single"/>
          </w:rPr>
          <w:t xml:space="preserve">https://www.legislation.gov.uk/uksi/2010/894</w:t>
        </w:r>
      </w:hyperlink>
    </w:p>
    <w:p>
      <w:pPr>
        <w:pStyle w:val="Heading1"/>
      </w:pPr>
      <w:bookmarkStart w:id="2" w:name="_Toc2"/>
      <w:r>
        <w:t>Article summary:</w:t>
      </w:r>
      <w:bookmarkEnd w:id="2"/>
    </w:p>
    <w:p>
      <w:pPr>
        <w:jc w:val="both"/>
      </w:pPr>
      <w:r>
        <w:rPr/>
        <w:t xml:space="preserve">1. The Electronic Commerce Directive (Hatred against Persons on Religious Grounds or the Grounds of Sexual Orientation) Regulations 2010 were implemented to give effect to Directive 2000/31/EC in relation to the offences of stirring up hatred against persons on religious grounds or on the grounds of sexual orientation.</w:t>
      </w:r>
    </w:p>
    <w:p>
      <w:pPr>
        <w:jc w:val="both"/>
      </w:pPr>
      <w:r>
        <w:rPr/>
        <w:t xml:space="preserve">2. These regulations apply on a country of origin basis and extend the application of the offences under Part 3A of the Public Order Act 1986 to information society service providers established in England and Wales who provide services in EEA states other than the UK.</w:t>
      </w:r>
    </w:p>
    <w:p>
      <w:pPr>
        <w:jc w:val="both"/>
      </w:pPr>
      <w:r>
        <w:rPr/>
        <w:t xml:space="preserve">3. The regulations create exceptions from liability for intermediary information society service providers when they provide mere conduit, caching, or hosting services in accordance with specified circumstances outlined in Articles 12, 13, and 14 of the Directive.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Electronic Commerce Directive (Hatred against Persons on Religious Grounds or the Grounds of Sexual Orientation) Regulations 2010" provides an overview of the regulations that were implemented in England and Wales to address hatred against persons based on religious grounds or sexual orientation in electronic commerce. While the article presents information about the regulations, it lacks critical analysis and fails to provide a balanced perspective.</w:t>
      </w:r>
    </w:p>
    <w:p>
      <w:pPr>
        <w:jc w:val="both"/>
      </w:pPr>
      <w:r>
        <w:rPr/>
        <w:t xml:space="preserve"/>
      </w:r>
    </w:p>
    <w:p>
      <w:pPr>
        <w:jc w:val="both"/>
      </w:pPr>
      <w:r>
        <w:rPr/>
        <w:t xml:space="preserve">One potential bias in the article is its focus solely on the regulations and their implementation without discussing any potential criticisms or concerns. The article does not explore any counterarguments or alternative viewpoints regarding the effectiveness or implications of these regulations. This one-sided reporting limits the reader's understanding of the topic and prevents them from forming a well-rounded opinion.</w:t>
      </w:r>
    </w:p>
    <w:p>
      <w:pPr>
        <w:jc w:val="both"/>
      </w:pPr>
      <w:r>
        <w:rPr/>
        <w:t xml:space="preserve"/>
      </w:r>
    </w:p>
    <w:p>
      <w:pPr>
        <w:jc w:val="both"/>
      </w:pPr>
      <w:r>
        <w:rPr/>
        <w:t xml:space="preserve">Additionally, the article does not provide any evidence or examples to support its claims about the need for these regulations. It simply states that they were implemented to address hatred against persons based on religious grounds or sexual orientation, but it does not provide any data or research to demonstrate the extent of this issue or how these regulations will effectively combat it. Without this evidence, readers are left to rely solely on the author's assertions.</w:t>
      </w:r>
    </w:p>
    <w:p>
      <w:pPr>
        <w:jc w:val="both"/>
      </w:pPr>
      <w:r>
        <w:rPr/>
        <w:t xml:space="preserve"/>
      </w:r>
    </w:p>
    <w:p>
      <w:pPr>
        <w:jc w:val="both"/>
      </w:pPr>
      <w:r>
        <w:rPr/>
        <w:t xml:space="preserve">Furthermore, there is a lack of consideration for potential risks associated with these regulations. The article does not discuss any concerns about freedom of speech or potential limitations on online expression that may arise as a result of these regulations. By omitting this important aspect, the article fails to present a comprehensive analysis of the topic.</w:t>
      </w:r>
    </w:p>
    <w:p>
      <w:pPr>
        <w:jc w:val="both"/>
      </w:pPr>
      <w:r>
        <w:rPr/>
        <w:t xml:space="preserve"/>
      </w:r>
    </w:p>
    <w:p>
      <w:pPr>
        <w:jc w:val="both"/>
      </w:pPr>
      <w:r>
        <w:rPr/>
        <w:t xml:space="preserve">Another notable omission in the article is any discussion of how these regulations may impact businesses operating in electronic commerce. There is no mention of potential challenges or compliance requirements that businesses may face as a result of these regulations. This oversight limits readers' understanding of how these regulations may affect different stakeholders in electronic commerce.</w:t>
      </w:r>
    </w:p>
    <w:p>
      <w:pPr>
        <w:jc w:val="both"/>
      </w:pPr>
      <w:r>
        <w:rPr/>
        <w:t xml:space="preserve"/>
      </w:r>
    </w:p>
    <w:p>
      <w:pPr>
        <w:jc w:val="both"/>
      </w:pPr>
      <w:r>
        <w:rPr/>
        <w:t xml:space="preserve">Overall, this article lacks critical analysis and fails to provide a balanced perspective on the topic at hand. It presents information about the implementation of regulations without exploring potential criticisms, providing evidence for its claims, or considering alternative viewpoints. As a result, readers are left with a limited understanding of the topic and may not be able to form an informed opinion.</w:t>
      </w:r>
    </w:p>
    <w:p>
      <w:pPr>
        <w:pStyle w:val="Heading1"/>
      </w:pPr>
      <w:bookmarkStart w:id="5" w:name="_Toc5"/>
      <w:r>
        <w:t>Topics for further research:</w:t>
      </w:r>
      <w:bookmarkEnd w:id="5"/>
    </w:p>
    <w:p>
      <w:pPr>
        <w:spacing w:after="0"/>
        <w:numPr>
          <w:ilvl w:val="0"/>
          <w:numId w:val="2"/>
        </w:numPr>
      </w:pPr>
      <w:r>
        <w:rPr/>
        <w:t xml:space="preserve">Criticisms of the Electronic Commerce Directive (Hatred against Persons on Religious Grounds or the Grounds of Sexual Orientation) Regulations 2010
</w:t>
      </w:r>
    </w:p>
    <w:p>
      <w:pPr>
        <w:spacing w:after="0"/>
        <w:numPr>
          <w:ilvl w:val="0"/>
          <w:numId w:val="2"/>
        </w:numPr>
      </w:pPr>
      <w:r>
        <w:rPr/>
        <w:t xml:space="preserve">Implications of the regulations on freedom of speech in electronic commerce
</w:t>
      </w:r>
    </w:p>
    <w:p>
      <w:pPr>
        <w:spacing w:after="0"/>
        <w:numPr>
          <w:ilvl w:val="0"/>
          <w:numId w:val="2"/>
        </w:numPr>
      </w:pPr>
      <w:r>
        <w:rPr/>
        <w:t xml:space="preserve">Research on the extent of hatred against persons based on religious grounds or sexual orientation in electronic commerce
</w:t>
      </w:r>
    </w:p>
    <w:p>
      <w:pPr>
        <w:spacing w:after="0"/>
        <w:numPr>
          <w:ilvl w:val="0"/>
          <w:numId w:val="2"/>
        </w:numPr>
      </w:pPr>
      <w:r>
        <w:rPr/>
        <w:t xml:space="preserve">Potential limitations on online expression due to the regulations
</w:t>
      </w:r>
    </w:p>
    <w:p>
      <w:pPr>
        <w:spacing w:after="0"/>
        <w:numPr>
          <w:ilvl w:val="0"/>
          <w:numId w:val="2"/>
        </w:numPr>
      </w:pPr>
      <w:r>
        <w:rPr/>
        <w:t xml:space="preserve">Challenges and compliance requirements for businesses operating in electronic commerce under these regulations
</w:t>
      </w:r>
    </w:p>
    <w:p>
      <w:pPr>
        <w:numPr>
          <w:ilvl w:val="0"/>
          <w:numId w:val="2"/>
        </w:numPr>
      </w:pPr>
      <w:r>
        <w:rPr/>
        <w:t xml:space="preserve">Alternative viewpoints on addressing hatred against persons based on religious grounds or sexual orientation in electronic commerce.</w:t>
      </w:r>
    </w:p>
    <w:p>
      <w:pPr>
        <w:pStyle w:val="Heading1"/>
      </w:pPr>
      <w:bookmarkStart w:id="6" w:name="_Toc6"/>
      <w:r>
        <w:t>Report location:</w:t>
      </w:r>
      <w:bookmarkEnd w:id="6"/>
    </w:p>
    <w:p>
      <w:hyperlink r:id="rId8" w:history="1">
        <w:r>
          <w:rPr>
            <w:color w:val="2980b9"/>
            <w:u w:val="single"/>
          </w:rPr>
          <w:t xml:space="preserve">https://www.fullpicture.app/item/a2785e6f975cc38563ae15399cee3711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46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slation.gov.uk/uksi/2010/894" TargetMode="External"/><Relationship Id="rId8" Type="http://schemas.openxmlformats.org/officeDocument/2006/relationships/hyperlink" Target="https://www.fullpicture.app/item/a2785e6f975cc38563ae15399cee3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2023-08-25T20:59:08+02:00</dcterms:created>
  <dcterms:modified xsi:type="dcterms:W3CDTF">2023-08-25T20:59:08+02:00</dcterms:modified>
</cp:coreProperties>
</file>

<file path=docProps/custom.xml><?xml version="1.0" encoding="utf-8"?>
<Properties xmlns="http://schemas.openxmlformats.org/officeDocument/2006/custom-properties" xmlns:vt="http://schemas.openxmlformats.org/officeDocument/2006/docPropsVTypes"/>
</file>