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Assessment of the Risk of Malnutrition (Undernutrition) in Stroke Patients - PubMed</w:t>
      </w:r>
      <w:br/>
      <w:hyperlink r:id="rId7" w:history="1">
        <w:r>
          <w:rPr>
            <w:color w:val="2980b9"/>
            <w:u w:val="single"/>
          </w:rPr>
          <w:t xml:space="preserve">https://pubmed.ncbi.nlm.nih.gov/36771390/</w:t>
        </w:r>
      </w:hyperlink>
    </w:p>
    <w:p>
      <w:pPr>
        <w:pStyle w:val="Heading1"/>
      </w:pPr>
      <w:bookmarkStart w:id="2" w:name="_Toc2"/>
      <w:r>
        <w:t>Article summary:</w:t>
      </w:r>
      <w:bookmarkEnd w:id="2"/>
    </w:p>
    <w:p>
      <w:pPr>
        <w:jc w:val="both"/>
      </w:pPr>
      <w:r>
        <w:rPr/>
        <w:t xml:space="preserve">1. 中风患者普遍存在营养不良，与神经和认知障碍以及临床结果有关。营养筛查是一种根据验证的工具/程序对营养风险进行分类的过程，需要在临床环境中快速、简单、经济有效和可靠。</w:t>
      </w:r>
    </w:p>
    <w:p>
      <w:pPr>
        <w:jc w:val="both"/>
      </w:pPr>
      <w:r>
        <w:rPr/>
        <w:t xml:space="preserve">2. 在中风患者中使用了不同的筛查工具/程序，其在营养风险方面的患病率有所不同（在康复单位更高），并与短期和长期的临床结果（如感染、残疾和死亡）有显著关联。</w:t>
      </w:r>
    </w:p>
    <w:p>
      <w:pPr>
        <w:jc w:val="both"/>
      </w:pPr>
      <w:r>
        <w:rPr/>
        <w:t xml:space="preserve">3. 需要进一步证据来确定评估急性和亚急性疾病或康复期间中风患者营养风险的适当方法；评估住院或康复期间营养治疗对营养不良风险的影响；并将营养筛查纳入明确定义的营养护理方案中。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这篇文章是一篇综述，旨在评估中风患者营养不良（营养不足）的风险，并讨论了用于评估中风患者营养风险的工具和程序。然而，这篇文章存在一些潜在的偏见和局限性。</w:t>
      </w:r>
    </w:p>
    <w:p>
      <w:pPr>
        <w:jc w:val="both"/>
      </w:pPr>
      <w:r>
        <w:rPr/>
        <w:t xml:space="preserve"/>
      </w:r>
    </w:p>
    <w:p>
      <w:pPr>
        <w:jc w:val="both"/>
      </w:pPr>
      <w:r>
        <w:rPr/>
        <w:t xml:space="preserve">首先，文章没有提及作者的研究方法或来源。没有提供关于数据收集和分析方法的详细信息，这可能导致结果的可靠性受到质疑。此外，文章也没有提供任何与其他研究进行比较或对照的数据，这使得读者很难评估该综述的准确性和可靠性。</w:t>
      </w:r>
    </w:p>
    <w:p>
      <w:pPr>
        <w:jc w:val="both"/>
      </w:pPr>
      <w:r>
        <w:rPr/>
        <w:t xml:space="preserve"/>
      </w:r>
    </w:p>
    <w:p>
      <w:pPr>
        <w:jc w:val="both"/>
      </w:pPr>
      <w:r>
        <w:rPr/>
        <w:t xml:space="preserve">其次，文章只关注了中风患者在临床特征和结局方面与营养风险工具/程序之间的关系，并未探讨其他可能影响中风患者营养状态的因素。例如，饮食习惯、生活方式、社会经济因素等都可能对中风患者的营养状态产生影响，但这些因素在文章中并未被考虑。</w:t>
      </w:r>
    </w:p>
    <w:p>
      <w:pPr>
        <w:jc w:val="both"/>
      </w:pPr>
      <w:r>
        <w:rPr/>
        <w:t xml:space="preserve"/>
      </w:r>
    </w:p>
    <w:p>
      <w:pPr>
        <w:jc w:val="both"/>
      </w:pPr>
      <w:r>
        <w:rPr/>
        <w:t xml:space="preserve">此外，在讨论不同工具/程序时，并未提供足够的证据来支持它们与临床结局之间的关系。文章只是简单地指出不同工具/程序在中风患者中的营养风险预测方面存在差异，并未提供任何具体数据或研究结果来支持这些结论。</w:t>
      </w:r>
    </w:p>
    <w:p>
      <w:pPr>
        <w:jc w:val="both"/>
      </w:pPr>
      <w:r>
        <w:rPr/>
        <w:t xml:space="preserve"/>
      </w:r>
    </w:p>
    <w:p>
      <w:pPr>
        <w:jc w:val="both"/>
      </w:pPr>
      <w:r>
        <w:rPr/>
        <w:t xml:space="preserve">最后，文章没有探讨营养治疗对中风患者住院期间或康复单位期间营养风险的影响。虽然文章提到了营养治疗对临床结局的影响，但并未提供任何相关研究或证据来支持这一观点。</w:t>
      </w:r>
    </w:p>
    <w:p>
      <w:pPr>
        <w:jc w:val="both"/>
      </w:pPr>
      <w:r>
        <w:rPr/>
        <w:t xml:space="preserve"/>
      </w:r>
    </w:p>
    <w:p>
      <w:pPr>
        <w:jc w:val="both"/>
      </w:pPr>
      <w:r>
        <w:rPr/>
        <w:t xml:space="preserve">综上所述，这篇文章存在一些潜在的偏见和局限性。它没有提供足够的证据来支持其主张，并忽略了其他可能影响中风患者营养状态的因素。读者应该谨慎对待该综述中提出的结论，并寻找更多可靠和全面的信息来评估中风患者的营养风险。</w:t>
      </w:r>
    </w:p>
    <w:p>
      <w:pPr>
        <w:pStyle w:val="Heading1"/>
      </w:pPr>
      <w:bookmarkStart w:id="5" w:name="_Toc5"/>
      <w:r>
        <w:t>Topics for further research:</w:t>
      </w:r>
      <w:bookmarkEnd w:id="5"/>
    </w:p>
    <w:p>
      <w:pPr>
        <w:spacing w:after="0"/>
        <w:numPr>
          <w:ilvl w:val="0"/>
          <w:numId w:val="2"/>
        </w:numPr>
      </w:pPr>
      <w:r>
        <w:rPr/>
        <w:t xml:space="preserve">中风患者营养风险的其他影响因素
</w:t>
      </w:r>
    </w:p>
    <w:p>
      <w:pPr>
        <w:spacing w:after="0"/>
        <w:numPr>
          <w:ilvl w:val="0"/>
          <w:numId w:val="2"/>
        </w:numPr>
      </w:pPr>
      <w:r>
        <w:rPr/>
        <w:t xml:space="preserve">营养治疗对中风患者营养风险的影响
</w:t>
      </w:r>
    </w:p>
    <w:p>
      <w:pPr>
        <w:spacing w:after="0"/>
        <w:numPr>
          <w:ilvl w:val="0"/>
          <w:numId w:val="2"/>
        </w:numPr>
      </w:pPr>
      <w:r>
        <w:rPr/>
        <w:t xml:space="preserve">中风患者营养风险评估工具的准确性和可靠性
</w:t>
      </w:r>
    </w:p>
    <w:p>
      <w:pPr>
        <w:spacing w:after="0"/>
        <w:numPr>
          <w:ilvl w:val="0"/>
          <w:numId w:val="2"/>
        </w:numPr>
      </w:pPr>
      <w:r>
        <w:rPr/>
        <w:t xml:space="preserve">中风患者营养风险评估的数据收集和分析方法
</w:t>
      </w:r>
    </w:p>
    <w:p>
      <w:pPr>
        <w:spacing w:after="0"/>
        <w:numPr>
          <w:ilvl w:val="0"/>
          <w:numId w:val="2"/>
        </w:numPr>
      </w:pPr>
      <w:r>
        <w:rPr/>
        <w:t xml:space="preserve">中风患者营养风险评估与临床结局之间的关系
</w:t>
      </w:r>
    </w:p>
    <w:p>
      <w:pPr>
        <w:numPr>
          <w:ilvl w:val="0"/>
          <w:numId w:val="2"/>
        </w:numPr>
      </w:pPr>
      <w:r>
        <w:rPr/>
        <w:t xml:space="preserve">中风患者营养风险评估的研究方法和来源</w:t>
      </w:r>
    </w:p>
    <w:p>
      <w:pPr>
        <w:pStyle w:val="Heading1"/>
      </w:pPr>
      <w:bookmarkStart w:id="6" w:name="_Toc6"/>
      <w:r>
        <w:t>Report location:</w:t>
      </w:r>
      <w:bookmarkEnd w:id="6"/>
    </w:p>
    <w:p>
      <w:hyperlink r:id="rId8" w:history="1">
        <w:r>
          <w:rPr>
            <w:color w:val="2980b9"/>
            <w:u w:val="single"/>
          </w:rPr>
          <w:t xml:space="preserve">https://www.fullpicture.app/item/a1e60701f48034745d6b70e92cdb6a03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214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71390/" TargetMode="External"/><Relationship Id="rId8" Type="http://schemas.openxmlformats.org/officeDocument/2006/relationships/hyperlink" Target="https://www.fullpicture.app/item/a1e60701f48034745d6b70e92cdb6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2024-01-12T11:07:00+01:00</dcterms:created>
  <dcterms:modified xsi:type="dcterms:W3CDTF">2024-01-12T11:07:00+01:00</dcterms:modified>
</cp:coreProperties>
</file>

<file path=docProps/custom.xml><?xml version="1.0" encoding="utf-8"?>
<Properties xmlns="http://schemas.openxmlformats.org/officeDocument/2006/custom-properties" xmlns:vt="http://schemas.openxmlformats.org/officeDocument/2006/docPropsVTypes"/>
</file>