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citrate versus systemic heparin anticoagulation for continuous renal replacement therapy in critically ill patients with acute kidney injury (RICH) trial: study protocol for a multicentre, randomised controlled trial - PMC</w:t>
      </w:r>
      <w:br/>
      <w:hyperlink r:id="rId7" w:history="1">
        <w:r>
          <w:rPr>
            <w:color w:val="2980b9"/>
            <w:u w:val="single"/>
          </w:rPr>
          <w:t xml:space="preserve">https://www.ncbi.nlm.nih.gov/pmc/articles/PMC6347902/</w:t>
        </w:r>
      </w:hyperlink>
    </w:p>
    <w:p>
      <w:pPr>
        <w:pStyle w:val="Heading1"/>
      </w:pPr>
      <w:bookmarkStart w:id="2" w:name="_Toc2"/>
      <w:r>
        <w:t>Article summary:</w:t>
      </w:r>
      <w:bookmarkEnd w:id="2"/>
    </w:p>
    <w:p>
      <w:pPr>
        <w:jc w:val="both"/>
      </w:pPr>
      <w:r>
        <w:rPr/>
        <w:t xml:space="preserve">1. 本研究旨在比较连续肾脏替代治疗（CRRT）中的区域性柠檬酸抗凝和全身肝素抗凝对于重症患者急性肾损伤（AKI）的效果。</w:t>
      </w:r>
    </w:p>
    <w:p>
      <w:pPr>
        <w:jc w:val="both"/>
      </w:pPr>
      <w:r>
        <w:rPr/>
        <w:t xml:space="preserve">2. 研究假设区域性柠檬酸抗凝相比全身肝素抗凝能够延长滤器使用寿命并改善90天随访期内的总体生存率。</w:t>
      </w:r>
    </w:p>
    <w:p>
      <w:pPr>
        <w:jc w:val="both"/>
      </w:pPr>
      <w:r>
        <w:rPr/>
        <w:t xml:space="preserve">3. 该研究还将调查次要结果，包括重症监护室停留时间、住院时间、CRRT持续时间、28天、60天、90天和1年时的肾功能恢复情况、28天、60天、90天和1年时需要RRT的情况等。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这篇文章是关于在危重病患者中进行连续肾脏替代治疗（CRRT）时，区域性柠檬酸抗凝与全身肝素抗凝的比较的研究方案。文章提到了该临床试验的目标、方法和预期结果。</w:t>
      </w:r>
    </w:p>
    <w:p>
      <w:pPr>
        <w:jc w:val="both"/>
      </w:pPr>
      <w:r>
        <w:rPr/>
        <w:t xml:space="preserve"/>
      </w:r>
    </w:p>
    <w:p>
      <w:pPr>
        <w:jc w:val="both"/>
      </w:pPr>
      <w:r>
        <w:rPr/>
        <w:t xml:space="preserve">然而，这篇文章存在一些潜在的偏见和问题。首先，文章没有明确提及作者或机构是否有利益冲突。如果作者或机构与某种抗凝剂相关的公司有合作关系，可能会对他们对结果的解释产生影响。</w:t>
      </w:r>
    </w:p>
    <w:p>
      <w:pPr>
        <w:jc w:val="both"/>
      </w:pPr>
      <w:r>
        <w:rPr/>
        <w:t xml:space="preserve"/>
      </w:r>
    </w:p>
    <w:p>
      <w:pPr>
        <w:jc w:val="both"/>
      </w:pPr>
      <w:r>
        <w:rPr/>
        <w:t xml:space="preserve">其次，文章没有提供关于参与者选择过程的详细信息。是否存在选择偏倚？是否有特定类型的患者被排除在试验之外？这些因素可能会影响结果的可靠性和适用性。</w:t>
      </w:r>
    </w:p>
    <w:p>
      <w:pPr>
        <w:jc w:val="both"/>
      </w:pPr>
      <w:r>
        <w:rPr/>
        <w:t xml:space="preserve"/>
      </w:r>
    </w:p>
    <w:p>
      <w:pPr>
        <w:jc w:val="both"/>
      </w:pPr>
      <w:r>
        <w:rPr/>
        <w:t xml:space="preserve">此外，文章没有提供关于样本大小计算和统计分析计划的详细信息。这使得读者无法评估该试验是否具备足够的统计能力来检测预期效应。</w:t>
      </w:r>
    </w:p>
    <w:p>
      <w:pPr>
        <w:jc w:val="both"/>
      </w:pPr>
      <w:r>
        <w:rPr/>
        <w:t xml:space="preserve"/>
      </w:r>
    </w:p>
    <w:p>
      <w:pPr>
        <w:jc w:val="both"/>
      </w:pPr>
      <w:r>
        <w:rPr/>
        <w:t xml:space="preserve">另一个问题是文章没有探讨可能存在的风险和不良事件。例如，在使用柠檬酸抗凝剂时可能出现钙离子代谢紊乱或其他不良反应。这些风险应该在试验中得到充分的考虑和监测。</w:t>
      </w:r>
    </w:p>
    <w:p>
      <w:pPr>
        <w:jc w:val="both"/>
      </w:pPr>
      <w:r>
        <w:rPr/>
        <w:t xml:space="preserve"/>
      </w:r>
    </w:p>
    <w:p>
      <w:pPr>
        <w:jc w:val="both"/>
      </w:pPr>
      <w:r>
        <w:rPr/>
        <w:t xml:space="preserve">最后，文章没有提供关于其他可能的抗凝剂选择的信息。除了柠檬酸和肝素之外，还有其他抗凝剂可供选择吗？这些选择是否被纳入考虑范围？</w:t>
      </w:r>
    </w:p>
    <w:p>
      <w:pPr>
        <w:jc w:val="both"/>
      </w:pPr>
      <w:r>
        <w:rPr/>
        <w:t xml:space="preserve"/>
      </w:r>
    </w:p>
    <w:p>
      <w:pPr>
        <w:jc w:val="both"/>
      </w:pPr>
      <w:r>
        <w:rPr/>
        <w:t xml:space="preserve">总体而言，这篇文章提出了一个重要的研究问题，但在方法和结果解释方面存在一些潜在的偏见和不足之处。读者需要更多的信息来评估该试验的可靠性和适用性。</w:t>
      </w:r>
    </w:p>
    <w:p>
      <w:pPr>
        <w:pStyle w:val="Heading1"/>
      </w:pPr>
      <w:bookmarkStart w:id="5" w:name="_Toc5"/>
      <w:r>
        <w:t>Topics for further research:</w:t>
      </w:r>
      <w:bookmarkEnd w:id="5"/>
    </w:p>
    <w:p>
      <w:pPr>
        <w:spacing w:after="0"/>
        <w:numPr>
          <w:ilvl w:val="0"/>
          <w:numId w:val="2"/>
        </w:numPr>
      </w:pPr>
      <w:r>
        <w:rPr/>
        <w:t xml:space="preserve">作者或机构是否有利益冲突
</w:t>
      </w:r>
    </w:p>
    <w:p>
      <w:pPr>
        <w:spacing w:after="0"/>
        <w:numPr>
          <w:ilvl w:val="0"/>
          <w:numId w:val="2"/>
        </w:numPr>
      </w:pPr>
      <w:r>
        <w:rPr/>
        <w:t xml:space="preserve">参与者选择过程的详细信息
</w:t>
      </w:r>
    </w:p>
    <w:p>
      <w:pPr>
        <w:spacing w:after="0"/>
        <w:numPr>
          <w:ilvl w:val="0"/>
          <w:numId w:val="2"/>
        </w:numPr>
      </w:pPr>
      <w:r>
        <w:rPr/>
        <w:t xml:space="preserve">样本大小计算和统计分析计划
</w:t>
      </w:r>
    </w:p>
    <w:p>
      <w:pPr>
        <w:spacing w:after="0"/>
        <w:numPr>
          <w:ilvl w:val="0"/>
          <w:numId w:val="2"/>
        </w:numPr>
      </w:pPr>
      <w:r>
        <w:rPr/>
        <w:t xml:space="preserve">可能存在的风险和不良事件
</w:t>
      </w:r>
    </w:p>
    <w:p>
      <w:pPr>
        <w:spacing w:after="0"/>
        <w:numPr>
          <w:ilvl w:val="0"/>
          <w:numId w:val="2"/>
        </w:numPr>
      </w:pPr>
      <w:r>
        <w:rPr/>
        <w:t xml:space="preserve">其他可能的抗凝剂选择
</w:t>
      </w:r>
    </w:p>
    <w:p>
      <w:pPr>
        <w:numPr>
          <w:ilvl w:val="0"/>
          <w:numId w:val="2"/>
        </w:numPr>
      </w:pPr>
      <w:r>
        <w:rPr/>
        <w:t xml:space="preserve">试验的可靠性和适用性评估</w:t>
      </w:r>
    </w:p>
    <w:p>
      <w:pPr>
        <w:pStyle w:val="Heading1"/>
      </w:pPr>
      <w:bookmarkStart w:id="6" w:name="_Toc6"/>
      <w:r>
        <w:t>Report location:</w:t>
      </w:r>
      <w:bookmarkEnd w:id="6"/>
    </w:p>
    <w:p>
      <w:hyperlink r:id="rId8" w:history="1">
        <w:r>
          <w:rPr>
            <w:color w:val="2980b9"/>
            <w:u w:val="single"/>
          </w:rPr>
          <w:t xml:space="preserve">https://www.fullpicture.app/item/9ce531c27ef9508c09a8f1560f8e3555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E70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347902/" TargetMode="External"/><Relationship Id="rId8" Type="http://schemas.openxmlformats.org/officeDocument/2006/relationships/hyperlink" Target="https://www.fullpicture.app/item/9ce531c27ef9508c09a8f1560f8e35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2024-07-08T22:45:24+02:00</dcterms:created>
  <dcterms:modified xsi:type="dcterms:W3CDTF">2024-07-08T22:45:24+02:00</dcterms:modified>
</cp:coreProperties>
</file>

<file path=docProps/custom.xml><?xml version="1.0" encoding="utf-8"?>
<Properties xmlns="http://schemas.openxmlformats.org/officeDocument/2006/custom-properties" xmlns:vt="http://schemas.openxmlformats.org/officeDocument/2006/docPropsVTypes"/>
</file>