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Corporate Responsibility for Human Rights: A Critical Analysis of the OECD Guidelines for Multinational Enterprises by Jernej Letnar Cernic :: SSRN</w:t>
      </w:r>
      <w:br/>
      <w:hyperlink r:id="rId7" w:history="1">
        <w:r>
          <w:rPr>
            <w:color w:val="2980b9"/>
            <w:u w:val="single"/>
          </w:rPr>
          <w:t xml:space="preserve">https://papers.ssrn.com/sol3/papers.cfm?abstract_id=1317263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企业在人权方面的责任：本文分析了OECD跨国企业准则对于企业人权责任的规定，并探讨了其实施效果和可行性。</w:t>
      </w:r>
    </w:p>
    <w:p>
      <w:pPr>
        <w:jc w:val="both"/>
      </w:pPr>
      <w:r>
        <w:rPr/>
        <w:t xml:space="preserve">2. 国家履行责任的挑战：虽然OECD成员国有义务建立国家联络点以确保准则在国内得到实施，但是一些国家在这方面仍存在挑战。</w:t>
      </w:r>
    </w:p>
    <w:p>
      <w:pPr>
        <w:jc w:val="both"/>
      </w:pPr>
      <w:r>
        <w:rPr/>
        <w:t xml:space="preserve">3. 加强现有机制：文章认为，通过加强现有的国家联络点实施机制，可以解决上述问题，并支持更有效地监管企业在人权方面的行为。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该文章主要探讨了跨国企业在人权问题上的责任，并对OECD《跨国企业准则》的实施程序进行了批判性分析。然而，该文章存在一些偏见和不足之处。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忽略了跨国企业在某些情况下可能面临的困难和挑战。虽然这些企业应该承担其在人权方面的责任，但他们也需要考虑到当地政治、文化和法律环境等因素。此外，该文章没有提及如何平衡跨国企业的经济利益和社会责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其次，该文章似乎过于强调了国家层面对OECD准则的实施。然而，在全球化背景下，跨国企业已经超越了单个国家的管辖范围。因此，需要更多的国际合作和协调来解决人权问题。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此外，该文章没有提供足够的证据来支持其主张。例如，在谈到OECD准则实施方面存在挑战时，作者没有具体说明这些挑战是什么以及它们是如何影响实施结果的。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最后，该文章似乎过于倾向于支持更加严格的监管措施，而没有考虑到可能的风险和负面影响。例如，过度严格的监管可能会对企业的竞争力和创新能力产生负面影响。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综上所述，该文章提出了一些有价值的观点和建议，但也存在一些偏见和不足之处。为了更好地解决跨国企业在人权问题上的责任，需要更加全面、客观和平衡的分析。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Challenges faced by multinational corporations in fulfilling their human rights responsibilities
</w:t>
      </w:r>
    </w:p>
    <w:p>
      <w:pPr>
        <w:spacing w:after="0"/>
        <w:numPr>
          <w:ilvl w:val="0"/>
          <w:numId w:val="2"/>
        </w:numPr>
      </w:pPr>
      <w:r>
        <w:rPr/>
        <w:t xml:space="preserve">Balancing economic interests and social responsibility of multinational corporations
</w:t>
      </w:r>
    </w:p>
    <w:p>
      <w:pPr>
        <w:spacing w:after="0"/>
        <w:numPr>
          <w:ilvl w:val="0"/>
          <w:numId w:val="2"/>
        </w:numPr>
      </w:pPr>
      <w:r>
        <w:rPr/>
        <w:t xml:space="preserve">Need for international cooperation and coordination in addressing human rights issues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overly strict regulatory measures
</w:t>
      </w:r>
    </w:p>
    <w:p>
      <w:pPr>
        <w:spacing w:after="0"/>
        <w:numPr>
          <w:ilvl w:val="0"/>
          <w:numId w:val="2"/>
        </w:numPr>
      </w:pPr>
      <w:r>
        <w:rPr/>
        <w:t xml:space="preserve">The need for a more comprehensive</w:t>
      </w:r>
    </w:p>
    <w:p>
      <w:pPr>
        <w:spacing w:after="0"/>
        <w:numPr>
          <w:ilvl w:val="0"/>
          <w:numId w:val="2"/>
        </w:numPr>
      </w:pPr>
      <w:r>
        <w:rPr/>
        <w:t xml:space="preserve">objective</w:t>
      </w:r>
    </w:p>
    <w:p>
      <w:pPr>
        <w:numPr>
          <w:ilvl w:val="0"/>
          <w:numId w:val="2"/>
        </w:numPr>
      </w:pPr>
      <w:r>
        <w:rPr/>
        <w:t xml:space="preserve">and balanced analysis of the issue.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https://www.fullpicture.app/item/9a0c1f07d63ae9bbfb32874dc0ee489f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EBB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.ssrn.com/sol3/papers.cfm?abstract_id=1317263" TargetMode="External"/><Relationship Id="rId8" Type="http://schemas.openxmlformats.org/officeDocument/2006/relationships/hyperlink" Target="https://www.fullpicture.app/item/9a0c1f07d63ae9bbfb32874dc0ee489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2023-05-16T01:15:42+02:00</dcterms:created>
  <dcterms:modified xsi:type="dcterms:W3CDTF">2023-05-16T01:15:42+02:00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