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Large-Scale Organization of Gestures and Words in the Middle Temporal Gyrus | Journal of Neuroscience</w:t>
      </w:r>
      <w:br/>
      <w:hyperlink r:id="rId7" w:history="1">
        <w:r>
          <w:rPr>
            <w:color w:val="2980b9"/>
            <w:u w:val="single"/>
          </w:rPr>
          <w:t xml:space="preserve">https://www.jneurosci.org/content/39/30/5966.full</w:t>
        </w:r>
      </w:hyperlink>
    </w:p>
    <w:p>
      <w:pPr>
        <w:pStyle w:val="Heading1"/>
      </w:pPr>
      <w:bookmarkStart w:id="2" w:name="_Toc2"/>
      <w:r>
        <w:t>Article summary:</w:t>
      </w:r>
      <w:bookmarkEnd w:id="2"/>
    </w:p>
    <w:p>
      <w:pPr>
        <w:jc w:val="both"/>
      </w:pPr>
      <w:r>
        <w:rPr/>
        <w:t xml:space="preserve">1. The middle temporal gyrus (MTG) is recruited during the processing of both words and gestures.</w:t>
      </w:r>
    </w:p>
    <w:p>
      <w:pPr>
        <w:jc w:val="both"/>
      </w:pPr>
      <w:r>
        <w:rPr/>
        <w:t xml:space="preserve">2. The organization of information in the MTG is driven by the input modality, with posterior regions responding more strongly to gestures than words and anterior regions showing a stronger response to words than gestures.</w:t>
      </w:r>
    </w:p>
    <w:p>
      <w:pPr>
        <w:jc w:val="both"/>
      </w:pPr>
      <w:r>
        <w:rPr/>
        <w:t xml:space="preserve">3. The arbitrariness of the relationship between sign and meaning may also contribute to the organization of information in the MTG, with emblems being closer to words than pantomimes.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Large-Scale Organization of Gestures and Words in the Middle Temporal Gyrus" published in the Journal of Neuroscience discusses how information related to words and gestures is organized along the MTG. The study found that there is a stronger response to meaningful compared with meaningless gestures along the whole left and large portions of the right MTG. Additionally, there was a gradient observed, with posterior regions responding more strongly to gestures (pantomimes and emblems) than words and anterior regions showing a stronger response to words than gestures.</w:t>
      </w:r>
    </w:p>
    <w:p>
      <w:pPr>
        <w:jc w:val="both"/>
      </w:pPr>
      <w:r>
        <w:rPr/>
        <w:t xml:space="preserve"/>
      </w:r>
    </w:p>
    <w:p>
      <w:pPr>
        <w:jc w:val="both"/>
      </w:pPr>
      <w:r>
        <w:rPr/>
        <w:t xml:space="preserve">Overall, the article provides valuable insights into how neural information is organized in the MTG based on input modality and arbitrariness of sign-meaning relationships. However, there are some potential biases and limitations that need to be considered.</w:t>
      </w:r>
    </w:p>
    <w:p>
      <w:pPr>
        <w:jc w:val="both"/>
      </w:pPr>
      <w:r>
        <w:rPr/>
        <w:t xml:space="preserve"/>
      </w:r>
    </w:p>
    <w:p>
      <w:pPr>
        <w:jc w:val="both"/>
      </w:pPr>
      <w:r>
        <w:rPr/>
        <w:t xml:space="preserve">One limitation of this study is that it only included Italian-speaking participants, which may limit its generalizability to other populations. Additionally, while the study found a gradient in response to different types of stimuli along the MTG strip, it did not investigate whether this organization extends beyond this region or if it varies across individuals.</w:t>
      </w:r>
    </w:p>
    <w:p>
      <w:pPr>
        <w:jc w:val="both"/>
      </w:pPr>
      <w:r>
        <w:rPr/>
        <w:t xml:space="preserve"/>
      </w:r>
    </w:p>
    <w:p>
      <w:pPr>
        <w:jc w:val="both"/>
      </w:pPr>
      <w:r>
        <w:rPr/>
        <w:t xml:space="preserve">Another potential bias is that the study only focused on one type of gesture (object-use pantomimes) and one type of emblem (conventional gestures), which may not fully represent all types of gestural communication. Additionally, while the study collapsed concrete and abstract nouns and verbs into one general stimulus group for words, it did not investigate whether these two categories elicit different responses in the MTG.</w:t>
      </w:r>
    </w:p>
    <w:p>
      <w:pPr>
        <w:jc w:val="both"/>
      </w:pPr>
      <w:r>
        <w:rPr/>
        <w:t xml:space="preserve"/>
      </w:r>
    </w:p>
    <w:p>
      <w:pPr>
        <w:jc w:val="both"/>
      </w:pPr>
      <w:r>
        <w:rPr/>
        <w:t xml:space="preserve">Furthermore, while the article suggests that neural representation of meanings in the MTG may reflect whether meanings are conveyed through words or gestures, it does not explore why this might be the case or what implications this has for our understanding of language processing.</w:t>
      </w:r>
    </w:p>
    <w:p>
      <w:pPr>
        <w:jc w:val="both"/>
      </w:pPr>
      <w:r>
        <w:rPr/>
        <w:t xml:space="preserve"/>
      </w:r>
    </w:p>
    <w:p>
      <w:pPr>
        <w:jc w:val="both"/>
      </w:pPr>
      <w:r>
        <w:rPr/>
        <w:t xml:space="preserve">In terms of strengths, the article provides detailed descriptions of its methods and stimuli, making it easier for other researchers to replicate or build upon this work. Additionally, by investigating both words and gestures, the study provides a more comprehensive understanding of how neural information is organized in the MTG.</w:t>
      </w:r>
    </w:p>
    <w:p>
      <w:pPr>
        <w:jc w:val="both"/>
      </w:pPr>
      <w:r>
        <w:rPr/>
        <w:t xml:space="preserve"/>
      </w:r>
    </w:p>
    <w:p>
      <w:pPr>
        <w:jc w:val="both"/>
      </w:pPr>
      <w:r>
        <w:rPr/>
        <w:t xml:space="preserve">Overall, while the article provides valuable insights into how neural information is organized in the MTG based on input modality and arbitrariness of sign-meaning relationships, there are some potential biases and limitations that need to be considered. Future research could address these limitations by investigating different types of gestures and words across different populations and exploring why neural representation of meanings in the MTG may reflect input modality.</w:t>
      </w:r>
    </w:p>
    <w:p>
      <w:pPr>
        <w:pStyle w:val="Heading1"/>
      </w:pPr>
      <w:bookmarkStart w:id="5" w:name="_Toc5"/>
      <w:r>
        <w:t>Topics for further research:</w:t>
      </w:r>
      <w:bookmarkEnd w:id="5"/>
    </w:p>
    <w:p>
      <w:pPr>
        <w:spacing w:after="0"/>
        <w:numPr>
          <w:ilvl w:val="0"/>
          <w:numId w:val="2"/>
        </w:numPr>
      </w:pPr>
      <w:r>
        <w:rPr/>
        <w:t xml:space="preserve">Variability of MTG organization across individuals
</w:t>
      </w:r>
    </w:p>
    <w:p>
      <w:pPr>
        <w:spacing w:after="0"/>
        <w:numPr>
          <w:ilvl w:val="0"/>
          <w:numId w:val="2"/>
        </w:numPr>
      </w:pPr>
      <w:r>
        <w:rPr/>
        <w:t xml:space="preserve">Representation of concrete vs. abstract words in the MTG
</w:t>
      </w:r>
    </w:p>
    <w:p>
      <w:pPr>
        <w:spacing w:after="0"/>
        <w:numPr>
          <w:ilvl w:val="0"/>
          <w:numId w:val="2"/>
        </w:numPr>
      </w:pPr>
      <w:r>
        <w:rPr/>
        <w:t xml:space="preserve">Neural mechanisms underlying language processing in the MTG
</w:t>
      </w:r>
    </w:p>
    <w:p>
      <w:pPr>
        <w:spacing w:after="0"/>
        <w:numPr>
          <w:ilvl w:val="0"/>
          <w:numId w:val="2"/>
        </w:numPr>
      </w:pPr>
      <w:r>
        <w:rPr/>
        <w:t xml:space="preserve">Cross-linguistic differences in MTG organization
</w:t>
      </w:r>
    </w:p>
    <w:p>
      <w:pPr>
        <w:spacing w:after="0"/>
        <w:numPr>
          <w:ilvl w:val="0"/>
          <w:numId w:val="2"/>
        </w:numPr>
      </w:pPr>
      <w:r>
        <w:rPr/>
        <w:t xml:space="preserve">Role of context in MTG response to gestures and words
</w:t>
      </w:r>
    </w:p>
    <w:p>
      <w:pPr>
        <w:numPr>
          <w:ilvl w:val="0"/>
          <w:numId w:val="2"/>
        </w:numPr>
      </w:pPr>
      <w:r>
        <w:rPr/>
        <w:t xml:space="preserve">Developmental changes in MTG organization for gestural and linguistic communication</w:t>
      </w:r>
    </w:p>
    <w:p>
      <w:pPr>
        <w:pStyle w:val="Heading1"/>
      </w:pPr>
      <w:bookmarkStart w:id="6" w:name="_Toc6"/>
      <w:r>
        <w:t>Report location:</w:t>
      </w:r>
      <w:bookmarkEnd w:id="6"/>
    </w:p>
    <w:p>
      <w:hyperlink r:id="rId8" w:history="1">
        <w:r>
          <w:rPr>
            <w:color w:val="2980b9"/>
            <w:u w:val="single"/>
          </w:rPr>
          <w:t xml:space="preserve">https://www.fullpicture.app/item/9a0a8dc83e66380f498efdd59776fede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EE11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neurosci.org/content/39/30/5966.full" TargetMode="External"/><Relationship Id="rId8" Type="http://schemas.openxmlformats.org/officeDocument/2006/relationships/hyperlink" Target="https://www.fullpicture.app/item/9a0a8dc83e66380f498efdd59776fe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2023-12-30T12:38:30+01:00</dcterms:created>
  <dcterms:modified xsi:type="dcterms:W3CDTF">2023-12-30T12:38:30+01:00</dcterms:modified>
</cp:coreProperties>
</file>

<file path=docProps/custom.xml><?xml version="1.0" encoding="utf-8"?>
<Properties xmlns="http://schemas.openxmlformats.org/officeDocument/2006/custom-properties" xmlns:vt="http://schemas.openxmlformats.org/officeDocument/2006/docPropsVTypes"/>
</file>