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宏基因组测序技术在病原微生物检测中的临床应用与存在的问题及面临挑战|微生物|mNGS|标本|临床|检测|-健康界</w:t>
      </w:r>
      <w:br/>
      <w:hyperlink r:id="rId7" w:history="1">
        <w:r>
          <w:rPr>
            <w:color w:val="2980b9"/>
            <w:u w:val="single"/>
          </w:rPr>
          <w:t xml:space="preserve">https://www.cn-healthcare.com/articlewm/20220915/content-1435317.html</w:t>
        </w:r>
      </w:hyperlink>
    </w:p>
    <w:p>
      <w:pPr>
        <w:pStyle w:val="Heading1"/>
      </w:pPr>
      <w:bookmarkStart w:id="2" w:name="_Toc2"/>
      <w:r>
        <w:t>Article summary:</w:t>
      </w:r>
      <w:bookmarkEnd w:id="2"/>
    </w:p>
    <w:p>
      <w:pPr>
        <w:jc w:val="both"/>
      </w:pPr>
      <w:r>
        <w:rPr/>
        <w:t xml:space="preserve">1. 宏基因组测序技术（mNGS）在病原微生物检测中的临床应用：mNGS可以非选择性地搜索病原微生物，从而帮助诊断和鉴别传染病。它可以检测中枢神经系统、呼吸系统和循环系统等感染性疾病，并能够发现新的病原体和疾病之间的新的因果关系。</w:t>
      </w:r>
    </w:p>
    <w:p>
      <w:pPr>
        <w:jc w:val="both"/>
      </w:pPr>
      <w:r>
        <w:rPr/>
        <w:t xml:space="preserve"/>
      </w:r>
    </w:p>
    <w:p>
      <w:pPr>
        <w:jc w:val="both"/>
      </w:pPr>
      <w:r>
        <w:rPr/>
        <w:t xml:space="preserve">2. 微生物群落与疾病之间的关系：mNGS可以用于研究微生物群落与急慢性疾病之间的关系。通过分析微生物群落的多样性，可以识别感染性和非感染性疾病，并了解不同治疗阶段对预后的影响。此外，mNGS还可以检测RNA表达，帮助区分感染和定殖以及判断致病微生物的存活情况。</w:t>
      </w:r>
    </w:p>
    <w:p>
      <w:pPr>
        <w:jc w:val="both"/>
      </w:pPr>
      <w:r>
        <w:rPr/>
        <w:t xml:space="preserve"/>
      </w:r>
    </w:p>
    <w:p>
      <w:pPr>
        <w:jc w:val="both"/>
      </w:pPr>
      <w:r>
        <w:rPr/>
        <w:t xml:space="preserve">3. mNGS技术面临的问题和挑战：尽管mNGS在传染性疾病诊断方面具有巨大优势和潜力，但该技术在结果解读方面仍面临许多影响因素。在解读结果时，需要考虑技术缺陷并与临床实践紧密结合。此外，mNGS的应用还面临着从研究到临床实践的许多挑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这篇文章介绍了宏基因组测序技术在病原微生物检测中的临床应用和存在的问题。然而，文章存在一些潜在的偏见和不足之处。</w:t>
      </w:r>
    </w:p>
    <w:p>
      <w:pPr>
        <w:jc w:val="both"/>
      </w:pPr>
      <w:r>
        <w:rPr/>
        <w:t xml:space="preserve"/>
      </w:r>
    </w:p>
    <w:p>
      <w:pPr>
        <w:jc w:val="both"/>
      </w:pPr>
      <w:r>
        <w:rPr/>
        <w:t xml:space="preserve">首先，文章没有提及宏基因组测序技术可能存在的局限性和风险。虽然该技术可以检测多种病原微生物，但其准确性和可靠性仍然需要进一步验证。此外，它也可能导致误诊或漏诊，特别是对于罕见或新出现的病原体。</w:t>
      </w:r>
    </w:p>
    <w:p>
      <w:pPr>
        <w:jc w:val="both"/>
      </w:pPr>
      <w:r>
        <w:rPr/>
        <w:t xml:space="preserve"/>
      </w:r>
    </w:p>
    <w:p>
      <w:pPr>
        <w:jc w:val="both"/>
      </w:pPr>
      <w:r>
        <w:rPr/>
        <w:t xml:space="preserve">其次，文章没有提供足够的证据来支持其主张。虽然宏基因组测序技术在某些疾病的诊断和治疗中可能有潜力，但目前还缺乏大规模临床试验数据来证明其有效性和可行性。</w:t>
      </w:r>
    </w:p>
    <w:p>
      <w:pPr>
        <w:jc w:val="both"/>
      </w:pPr>
      <w:r>
        <w:rPr/>
        <w:t xml:space="preserve"/>
      </w:r>
    </w:p>
    <w:p>
      <w:pPr>
        <w:jc w:val="both"/>
      </w:pPr>
      <w:r>
        <w:rPr/>
        <w:t xml:space="preserve">此外，文章没有探讨其他可能影响结果解释的因素。宏基因组测序技术产生的数据量巨大，并且结果解读可能受到样本质量、数据分析方法以及个体差异等多种因素的影响。这些因素都需要被充分考虑，并与临床实践紧密结合。</w:t>
      </w:r>
    </w:p>
    <w:p>
      <w:pPr>
        <w:jc w:val="both"/>
      </w:pPr>
      <w:r>
        <w:rPr/>
        <w:t xml:space="preserve"/>
      </w:r>
    </w:p>
    <w:p>
      <w:pPr>
        <w:jc w:val="both"/>
      </w:pPr>
      <w:r>
        <w:rPr/>
        <w:t xml:space="preserve">最后，文章没有平等地呈现双方观点。它主要强调了宏基因组测序技术的优势和潜力，但没有提及可能存在的问题和挑战。一个更全面的分析应该包括对技术的优点和局限性进行平衡评估。</w:t>
      </w:r>
    </w:p>
    <w:p>
      <w:pPr>
        <w:jc w:val="both"/>
      </w:pPr>
      <w:r>
        <w:rPr/>
        <w:t xml:space="preserve"/>
      </w:r>
    </w:p>
    <w:p>
      <w:pPr>
        <w:jc w:val="both"/>
      </w:pPr>
      <w:r>
        <w:rPr/>
        <w:t xml:space="preserve">综上所述，这篇文章在介绍宏基因组测序技术在病原微生物检测中的临床应用时存在一些偏见和不足之处。进一步的研究和临床试验是必要的，以验证该技术的有效性和可行性，并充分考虑其局限性和风险。</w:t>
      </w:r>
    </w:p>
    <w:p>
      <w:pPr>
        <w:pStyle w:val="Heading1"/>
      </w:pPr>
      <w:bookmarkStart w:id="5" w:name="_Toc5"/>
      <w:r>
        <w:t>Topics for further research:</w:t>
      </w:r>
      <w:bookmarkEnd w:id="5"/>
    </w:p>
    <w:p>
      <w:pPr>
        <w:spacing w:after="0"/>
        <w:numPr>
          <w:ilvl w:val="0"/>
          <w:numId w:val="2"/>
        </w:numPr>
      </w:pPr>
      <w:r>
        <w:rPr/>
        <w:t xml:space="preserve">宏基因组测序技术的局限性和风险
</w:t>
      </w:r>
    </w:p>
    <w:p>
      <w:pPr>
        <w:spacing w:after="0"/>
        <w:numPr>
          <w:ilvl w:val="0"/>
          <w:numId w:val="2"/>
        </w:numPr>
      </w:pPr>
      <w:r>
        <w:rPr/>
        <w:t xml:space="preserve">宏基因组测序技术的准确性和可靠性验证
</w:t>
      </w:r>
    </w:p>
    <w:p>
      <w:pPr>
        <w:spacing w:after="0"/>
        <w:numPr>
          <w:ilvl w:val="0"/>
          <w:numId w:val="2"/>
        </w:numPr>
      </w:pPr>
      <w:r>
        <w:rPr/>
        <w:t xml:space="preserve">宏基因组测序技术可能导致的误诊或漏诊
</w:t>
      </w:r>
    </w:p>
    <w:p>
      <w:pPr>
        <w:spacing w:after="0"/>
        <w:numPr>
          <w:ilvl w:val="0"/>
          <w:numId w:val="2"/>
        </w:numPr>
      </w:pPr>
      <w:r>
        <w:rPr/>
        <w:t xml:space="preserve">缺乏大规模临床试验数据来证明宏基因组测序技术的有效性和可行性
</w:t>
      </w:r>
    </w:p>
    <w:p>
      <w:pPr>
        <w:spacing w:after="0"/>
        <w:numPr>
          <w:ilvl w:val="0"/>
          <w:numId w:val="2"/>
        </w:numPr>
      </w:pPr>
      <w:r>
        <w:rPr/>
        <w:t xml:space="preserve">其他可能影响结果解释的因素，如样本质量、数据分析方法和个体差异
</w:t>
      </w:r>
    </w:p>
    <w:p>
      <w:pPr>
        <w:numPr>
          <w:ilvl w:val="0"/>
          <w:numId w:val="2"/>
        </w:numPr>
      </w:pPr>
      <w:r>
        <w:rPr/>
        <w:t xml:space="preserve">平等呈现宏基因组测序技术的优点和局限性的需要</w:t>
      </w:r>
    </w:p>
    <w:p>
      <w:pPr>
        <w:pStyle w:val="Heading1"/>
      </w:pPr>
      <w:bookmarkStart w:id="6" w:name="_Toc6"/>
      <w:r>
        <w:t>Report location:</w:t>
      </w:r>
      <w:bookmarkEnd w:id="6"/>
    </w:p>
    <w:p>
      <w:hyperlink r:id="rId8" w:history="1">
        <w:r>
          <w:rPr>
            <w:color w:val="2980b9"/>
            <w:u w:val="single"/>
          </w:rPr>
          <w:t xml:space="preserve">https://www.fullpicture.app/item/994b7a34db82872114cbaf0cd172c9ea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DDB5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healthcare.com/articlewm/20220915/content-1435317.html" TargetMode="External"/><Relationship Id="rId8" Type="http://schemas.openxmlformats.org/officeDocument/2006/relationships/hyperlink" Target="https://www.fullpicture.app/item/994b7a34db82872114cbaf0cd172c9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2024-01-22T15:40:22+01:00</dcterms:created>
  <dcterms:modified xsi:type="dcterms:W3CDTF">2024-01-22T15:40:22+01:00</dcterms:modified>
</cp:coreProperties>
</file>

<file path=docProps/custom.xml><?xml version="1.0" encoding="utf-8"?>
<Properties xmlns="http://schemas.openxmlformats.org/officeDocument/2006/custom-properties" xmlns:vt="http://schemas.openxmlformats.org/officeDocument/2006/docPropsVTypes"/>
</file>