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 case of fatal multi-organ inflammation following COVID-19 vaccination - ScienceDirect</w:t>
      </w:r>
      <w:br/>
      <w:hyperlink r:id="rId7" w:history="1">
        <w:r>
          <w:rPr>
            <w:color w:val="2980b9"/>
            <w:u w:val="single"/>
          </w:rPr>
          <w:t xml:space="preserve">https://vpn.jlu.edu.cn/https/6a6c7576706e6973746865676f6f642146ab1ccab988c2a628982887fb4b0f3fca7e3a30a5/science/article/pii/S1344622323000548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一名14岁的女孩在接种第三剂BNT1262b2 mRNA COVID-19疫苗后两天意外死亡。</w:t>
      </w:r>
    </w:p>
    <w:p>
      <w:pPr>
        <w:jc w:val="both"/>
      </w:pPr>
      <w:r>
        <w:rPr/>
        <w:t xml:space="preserve">2. 尸检结果显示肺充血水肿、淋巴细胞和巨噬细胞浸润、心包和心肌受损、以及其他器官的炎症反应。</w:t>
      </w:r>
    </w:p>
    <w:p>
      <w:pPr>
        <w:jc w:val="both"/>
      </w:pPr>
      <w:r>
        <w:rPr/>
        <w:t xml:space="preserve">3. 研究人员认为，心律失常是导致患者死亡的主要原因。在突发的接种后死亡事件中，进行积极的尸检和组织学检查是必不可少的。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该文章是一篇关于COVID-19疫苗接种后导致多器官炎症和死亡的案例报告。然而，该文章存在一些潜在的偏见和问题。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没有提供足够的证据来支持其主张。虽然作者声称这位14岁女孩的死亡是由于COVID-19疫苗引起的多器官炎症所致，但他们并没有提供足够的数据来证明这一点。此外，文章中也没有提到其他可能导致这种情况发生的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可能存在片面报道和缺失考虑点。例如，作者没有探讨其他可能导致这种情况发生的因素，如基础健康问题或其他药物使用。此外，文章中也没有提到类似事件在接种COVID-19疫苗后发生的频率有多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最后，该文章可能存在宣传内容和偏袒。尽管作者声称他们进行了“积极”的尸检系统搜索和组织学检查，并且认为心房起源性心律失常是导致患者死亡的原因，但他们并没有提供足够的证据来支持这一点。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总之，虽然该文章提供了一个重要案例报告，但它可能存在一些潜在的偏见和问题。因此，读者应该谨慎对待这篇文章，并寻找更多的证据来支持或反驳其主张。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possible factors contributing to the reported case
</w:t>
      </w:r>
    </w:p>
    <w:p>
      <w:pPr>
        <w:spacing w:after="0"/>
        <w:numPr>
          <w:ilvl w:val="0"/>
          <w:numId w:val="2"/>
        </w:numPr>
      </w:pPr>
      <w:r>
        <w:rPr/>
        <w:t xml:space="preserve">Frequency of similar events after COVID-19 vaccination
</w:t>
      </w:r>
    </w:p>
    <w:p>
      <w:pPr>
        <w:spacing w:after="0"/>
        <w:numPr>
          <w:ilvl w:val="0"/>
          <w:numId w:val="2"/>
        </w:numPr>
      </w:pPr>
      <w:r>
        <w:rPr/>
        <w:t xml:space="preserve">Adequacy of evidence supporting the claim of vaccine-induced multi-organ inflammation
</w:t>
      </w:r>
    </w:p>
    <w:p>
      <w:pPr>
        <w:spacing w:after="0"/>
        <w:numPr>
          <w:ilvl w:val="0"/>
          <w:numId w:val="2"/>
        </w:numPr>
      </w:pPr>
      <w:r>
        <w:rPr/>
        <w:t xml:space="preserve">Potential biases and limitations in the article
</w:t>
      </w:r>
    </w:p>
    <w:p>
      <w:pPr>
        <w:spacing w:after="0"/>
        <w:numPr>
          <w:ilvl w:val="0"/>
          <w:numId w:val="2"/>
        </w:numPr>
      </w:pPr>
      <w:r>
        <w:rPr/>
        <w:t xml:space="preserve">Consideration of underlying health conditions and other medication use
</w:t>
      </w:r>
    </w:p>
    <w:p>
      <w:pPr>
        <w:numPr>
          <w:ilvl w:val="0"/>
          <w:numId w:val="2"/>
        </w:numPr>
      </w:pPr>
      <w:r>
        <w:rPr/>
        <w:t xml:space="preserve">Need for further evidence to support or refute the claims made in the article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https://www.fullpicture.app/item/98fbb3a9952113c71117585e2d43f058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4C794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pn.jlu.edu.cn/https/6a6c7576706e6973746865676f6f642146ab1ccab988c2a628982887fb4b0f3fca7e3a30a5/science/article/pii/S1344622323000548" TargetMode="External"/><Relationship Id="rId8" Type="http://schemas.openxmlformats.org/officeDocument/2006/relationships/hyperlink" Target="https://www.fullpicture.app/item/98fbb3a9952113c71117585e2d43f05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2023-12-21T18:04:25+01:00</dcterms:created>
  <dcterms:modified xsi:type="dcterms:W3CDTF">2023-12-21T18:04:25+01:00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