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Short-chain perfluoroalkyl acids: environmental concerns and a regulatory strategy under REACH | Environmental Sciences Europe | Full Text</w:t>
      </w:r>
      <w:br/>
      <w:hyperlink r:id="rId7" w:history="1">
        <w:r>
          <w:rPr>
            <w:color w:val="2980b9"/>
            <w:u w:val="single"/>
          </w:rPr>
          <w:t xml:space="preserve">https://enveurope.springeropen.com/articles/10.1186/s12302-018-0134-4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短链全氟烷基酸是一种环境问题，因为它们在土壤和水中具有高度的迁移性，并且其最终降解产物极其持久。这导致它们快速分布到水资源中，并因此污染饮用水资源。</w:t>
      </w:r>
    </w:p>
    <w:p>
      <w:pPr>
        <w:jc w:val="both"/>
      </w:pPr>
      <w:r>
        <w:rPr/>
        <w:t xml:space="preserve">2. 由于缺乏适当的水处理技术，短链全氟烷基酸在环境中形成了永久性背景浓度，从而使生物长期暴露于其中。考虑到这种永久性暴露，很难估计生物的长期不良影响。</w:t>
      </w:r>
    </w:p>
    <w:p>
      <w:pPr>
        <w:jc w:val="both"/>
      </w:pPr>
      <w:r>
        <w:rPr/>
        <w:t xml:space="preserve">3. 鉴于这些担忧和不确定性，特别是关于预防原则，短链全氟烷基酸应被视为非常关注的物质，并在REACH下进行限制。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作为一篇研究性文章，本文提供了对短链全氟烷基酸（PFASs）的环境问题和在REACH下的监管策略的探讨。然而，本文存在以下问题：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偏见来源：本文可能存在来自环保主义者或政治立场的偏见，因为它没有平等地呈现双方的观点，并且只关注了短链PFASs的负面影响。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片面报道：本文只关注了短链PFASs的环境问题，而没有探讨其在工业和消费品中的应用和价值。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无根据主张：本文声称短链PFASs是“非常高度关注”的物质，但并未提供足够证据支持这一主张。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缺失考虑点：本文没有考虑到其他国家或地区对于短链PFASs监管策略的实施情况，也没有探讨其他可能存在的解决方案。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所提出主张缺失证据：尽管本文建议将短链PFASs识别为REACH下“非常高度关注”的物质，并进行限制，但并未提供足够证据支持这一建议。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未探索反驳：本文没有探讨可能存在的反驳观点或争议，也没有提供对这些观点的回应。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宣传内容：本文可能存在宣传内容，因为它只关注了短链PFASs的负面影响，并未提供足够的平衡报道。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偏袒：本文可能存在偏袒环保主义者或政治立场，因为它只关注了短链PFASs的负面影响，并未提供足够的平衡报道。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未注意到可能的风险：本文没有探讨短链PFASs在某些情况下可能具有积极作用或价值，也没有考虑到限制其使用可能会带来的经济和社会风险。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Balanced reporting on PFASs
</w:t>
      </w:r>
    </w:p>
    <w:p>
      <w:pPr>
        <w:spacing w:after="0"/>
        <w:numPr>
          <w:ilvl w:val="0"/>
          <w:numId w:val="2"/>
        </w:numPr>
      </w:pPr>
      <w:r>
        <w:rPr/>
        <w:t xml:space="preserve">Applications and values of short-chain PFASs
</w:t>
      </w:r>
    </w:p>
    <w:p>
      <w:pPr>
        <w:spacing w:after="0"/>
        <w:numPr>
          <w:ilvl w:val="0"/>
          <w:numId w:val="2"/>
        </w:numPr>
      </w:pPr>
      <w:r>
        <w:rPr/>
        <w:t xml:space="preserve">Evidence for high concern of short-chain PFASs
</w:t>
      </w:r>
    </w:p>
    <w:p>
      <w:pPr>
        <w:spacing w:after="0"/>
        <w:numPr>
          <w:ilvl w:val="0"/>
          <w:numId w:val="2"/>
        </w:numPr>
      </w:pPr>
      <w:r>
        <w:rPr/>
        <w:t xml:space="preserve">International regulatory strategies for PFASs
</w:t>
      </w:r>
    </w:p>
    <w:p>
      <w:pPr>
        <w:spacing w:after="0"/>
        <w:numPr>
          <w:ilvl w:val="0"/>
          <w:numId w:val="2"/>
        </w:numPr>
      </w:pPr>
      <w:r>
        <w:rPr/>
        <w:t xml:space="preserve">Evidence for restricting short-chain PFASs under REACH
</w:t>
      </w:r>
    </w:p>
    <w:p>
      <w:pPr>
        <w:numPr>
          <w:ilvl w:val="0"/>
          <w:numId w:val="2"/>
        </w:numPr>
      </w:pPr>
      <w:r>
        <w:rPr/>
        <w:t xml:space="preserve">Counterarguments and controversies on PFASs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https://www.fullpicture.app/item/96ce6b2f97c6dbf2d95ec90f64993bc1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7D5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veurope.springeropen.com/articles/10.1186/s12302-018-0134-4" TargetMode="External"/><Relationship Id="rId8" Type="http://schemas.openxmlformats.org/officeDocument/2006/relationships/hyperlink" Target="https://www.fullpicture.app/item/96ce6b2f97c6dbf2d95ec90f64993b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2023-04-18T05:22:30+02:00</dcterms:created>
  <dcterms:modified xsi:type="dcterms:W3CDTF">2023-04-18T05:22:30+02:00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