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Delta-gamma coupling as a potential neurophysiological mechanism of fluid intelligence - ScienceDirect</w:t>
      </w:r>
      <w:br/>
      <w:hyperlink r:id="rId7" w:history="1">
        <w:r>
          <w:rPr>
            <w:color w:val="2980b9"/>
            <w:u w:val="single"/>
          </w:rPr>
          <w:t xml:space="preserve">https://www.sciencedirect.com/science/article/pii/S0160289617301940?via%3Dihub=</w:t>
        </w:r>
      </w:hyperlink>
    </w:p>
    <w:p>
      <w:pPr>
        <w:pStyle w:val="Heading1"/>
      </w:pPr>
      <w:bookmarkStart w:id="2" w:name="_Toc2"/>
      <w:r>
        <w:t>Article summary:</w:t>
      </w:r>
      <w:bookmarkEnd w:id="2"/>
    </w:p>
    <w:p>
      <w:pPr>
        <w:jc w:val="both"/>
      </w:pPr>
      <w:r>
        <w:rPr/>
        <w:t xml:space="preserve">1. Fluid intelligence (gf) is strongly predicted by the precise synchronization of fast oscillations to a specific time window of slow brain rhythms.</w:t>
      </w:r>
    </w:p>
    <w:p>
      <w:pPr>
        <w:jc w:val="both"/>
      </w:pPr>
      <w:r>
        <w:rPr/>
        <w:t xml:space="preserve">2. Phase-Amplitude Coupling (PAC) related to an increased concentration of gamma spectral power at the descending phase of delta oscillations explains 35% variance in scores on multiple gf tests.</w:t>
      </w:r>
    </w:p>
    <w:p>
      <w:pPr>
        <w:jc w:val="both"/>
      </w:pPr>
      <w:r>
        <w:rPr/>
        <w:t xml:space="preserve">3. Delta-gamma PAC had larger predictive power than six other EEG-based indices, suggesting it as a potential neurophysiological substrate of gf in humans.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"Delta-gamma coupling as a potential neurophysiological mechanism of fluid intelligence" presents findings from an EEG study that suggests a potential link between cross-frequency coupling (CFC) and fluid intelligence (gf). The study found that high-gf participants displayed stronger Phase-Amplitude Coupling (PAC) related to an increased concentration of gamma spectral power at the descending phase of delta oscillations. Delta-gamma PAC strength explained 35% variance in scores on multiple gf tests, outperforming six alternative EEG-based predictors including spectral power, complexity, and amplitude-amplitude coupling.</w:t>
      </w:r>
    </w:p>
    <w:p>
      <w:pPr>
        <w:jc w:val="both"/>
      </w:pPr>
      <w:r>
        <w:rPr/>
        <w:t xml:space="preserve"/>
      </w:r>
    </w:p>
    <w:p>
      <w:pPr>
        <w:jc w:val="both"/>
      </w:pPr>
      <w:r>
        <w:rPr/>
        <w:t xml:space="preserve">While the study provides interesting insights into the potential neurophysiological mechanisms underlying gf, there are several limitations and biases that need to be considered. Firstly, the sample size is relatively small with only 50 participants, which may limit the generalizability of the findings. Additionally, the study only examined resting-state EEG recordings and performance on two gf tasks, which may not fully capture the complexity of cognitive processes involved in abstract reasoning.</w:t>
      </w:r>
    </w:p>
    <w:p>
      <w:pPr>
        <w:jc w:val="both"/>
      </w:pPr>
      <w:r>
        <w:rPr/>
        <w:t xml:space="preserve"/>
      </w:r>
    </w:p>
    <w:p>
      <w:pPr>
        <w:jc w:val="both"/>
      </w:pPr>
      <w:r>
        <w:rPr/>
        <w:t xml:space="preserve">Furthermore, while the authors suggest that CFC may be a key mechanism underlying individual differences in abstract reasoning and thus strongly predict gf, it is important to note that this is just one possible explanation among many others. The article does not explore alternative explanations or counterarguments for why CFC might not be a strong predictor of gf.</w:t>
      </w:r>
    </w:p>
    <w:p>
      <w:pPr>
        <w:jc w:val="both"/>
      </w:pPr>
      <w:r>
        <w:rPr/>
        <w:t xml:space="preserve"/>
      </w:r>
    </w:p>
    <w:p>
      <w:pPr>
        <w:jc w:val="both"/>
      </w:pPr>
      <w:r>
        <w:rPr/>
        <w:t xml:space="preserve">Another limitation is that the article does not discuss any potential risks or ethical considerations associated with using EEG-based predictors for assessing cognitive abilities. It is important to consider issues such as privacy concerns and potential misuse of such assessments in areas such as employment or education.</w:t>
      </w:r>
    </w:p>
    <w:p>
      <w:pPr>
        <w:jc w:val="both"/>
      </w:pPr>
      <w:r>
        <w:rPr/>
        <w:t xml:space="preserve"/>
      </w:r>
    </w:p>
    <w:p>
      <w:pPr>
        <w:jc w:val="both"/>
      </w:pPr>
      <w:r>
        <w:rPr/>
        <w:t xml:space="preserve">Overall, while the study provides interesting insights into potential neurophysiological mechanisms underlying gf, it is important to consider its limitations and biases before drawing any definitive conclusions. Further research with larger sample sizes and more comprehensive assessments of cognitive abilities would be needed to fully understand the role of CFC in individual differences in abstract reasoning.</w:t>
      </w:r>
    </w:p>
    <w:p>
      <w:pPr>
        <w:pStyle w:val="Heading1"/>
      </w:pPr>
      <w:bookmarkStart w:id="5" w:name="_Toc5"/>
      <w:r>
        <w:t>Topics for further research:</w:t>
      </w:r>
      <w:bookmarkEnd w:id="5"/>
    </w:p>
    <w:p>
      <w:pPr>
        <w:spacing w:after="0"/>
        <w:numPr>
          <w:ilvl w:val="0"/>
          <w:numId w:val="2"/>
        </w:numPr>
      </w:pPr>
      <w:r>
        <w:rPr/>
        <w:t xml:space="preserve">Alternative explanations for individual differences in abstract reasoning
</w:t>
      </w:r>
    </w:p>
    <w:p>
      <w:pPr>
        <w:spacing w:after="0"/>
        <w:numPr>
          <w:ilvl w:val="0"/>
          <w:numId w:val="2"/>
        </w:numPr>
      </w:pPr>
      <w:r>
        <w:rPr/>
        <w:t xml:space="preserve">Risks and ethical considerations of using EEG-based predictors for cognitive assessment
</w:t>
      </w:r>
    </w:p>
    <w:p>
      <w:pPr>
        <w:spacing w:after="0"/>
        <w:numPr>
          <w:ilvl w:val="0"/>
          <w:numId w:val="2"/>
        </w:numPr>
      </w:pPr>
      <w:r>
        <w:rPr/>
        <w:t xml:space="preserve">Limitations of resting-state EEG recordings in capturing cognitive processes
</w:t>
      </w:r>
    </w:p>
    <w:p>
      <w:pPr>
        <w:spacing w:after="0"/>
        <w:numPr>
          <w:ilvl w:val="0"/>
          <w:numId w:val="2"/>
        </w:numPr>
      </w:pPr>
      <w:r>
        <w:rPr/>
        <w:t xml:space="preserve">Comprehensive assessments of cognitive abilities beyond two gf tasks
</w:t>
      </w:r>
    </w:p>
    <w:p>
      <w:pPr>
        <w:spacing w:after="0"/>
        <w:numPr>
          <w:ilvl w:val="0"/>
          <w:numId w:val="2"/>
        </w:numPr>
      </w:pPr>
      <w:r>
        <w:rPr/>
        <w:t xml:space="preserve">Generalizability of findings with small sample size
</w:t>
      </w:r>
    </w:p>
    <w:p>
      <w:pPr>
        <w:numPr>
          <w:ilvl w:val="0"/>
          <w:numId w:val="2"/>
        </w:numPr>
      </w:pPr>
      <w:r>
        <w:rPr/>
        <w:t xml:space="preserve">Counterarguments against CFC as a strong predictor of gf</w:t>
      </w:r>
    </w:p>
    <w:p>
      <w:pPr>
        <w:pStyle w:val="Heading1"/>
      </w:pPr>
      <w:bookmarkStart w:id="6" w:name="_Toc6"/>
      <w:r>
        <w:t>Report location:</w:t>
      </w:r>
      <w:bookmarkEnd w:id="6"/>
    </w:p>
    <w:p>
      <w:hyperlink r:id="rId8" w:history="1">
        <w:r>
          <w:rPr>
            <w:color w:val="2980b9"/>
            <w:u w:val="single"/>
          </w:rPr>
          <w:t xml:space="preserve">https://www.fullpicture.app/item/9678e1e262d0156935d481b162f50a6b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4BA9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0289617301940?via%3Dihub=" TargetMode="External"/><Relationship Id="rId8" Type="http://schemas.openxmlformats.org/officeDocument/2006/relationships/hyperlink" Target="https://www.fullpicture.app/item/9678e1e262d0156935d481b162f50a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2023-12-15T18:27:52+01:00</dcterms:created>
  <dcterms:modified xsi:type="dcterms:W3CDTF">2023-12-15T18:27:52+01:00</dcterms:modified>
</cp:coreProperties>
</file>

<file path=docProps/custom.xml><?xml version="1.0" encoding="utf-8"?>
<Properties xmlns="http://schemas.openxmlformats.org/officeDocument/2006/custom-properties" xmlns:vt="http://schemas.openxmlformats.org/officeDocument/2006/docPropsVTypes"/>
</file>