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An Isocratic HPLC Method for the Determination of Sorbitol and Glycerol in Pharmaceutical Formulations. Journal of Chromatographic Science, 50(7), 644–647 | 10.1093/chromsci/bms044</w:t>
      </w:r>
      <w:br/>
      <w:hyperlink r:id="rId7" w:history="1">
        <w:r>
          <w:rPr>
            <w:color w:val="2980b9"/>
            <w:u w:val="single"/>
          </w:rPr>
          <w:t xml:space="preserve">https://sci-hub.ru/10.1093/chromsci/bms044</w:t>
        </w:r>
      </w:hyperlink>
    </w:p>
    <w:p>
      <w:pPr>
        <w:pStyle w:val="Heading1"/>
      </w:pPr>
      <w:bookmarkStart w:id="2" w:name="_Toc2"/>
      <w:r>
        <w:t>Article summary:</w:t>
      </w:r>
      <w:bookmarkEnd w:id="2"/>
    </w:p>
    <w:p>
      <w:pPr>
        <w:jc w:val="both"/>
      </w:pPr>
      <w:r>
        <w:rPr/>
        <w:t xml:space="preserve">1. Isokratische HPLC-Methode zur Bestimmung von Sorbitol und Glycerin in pharmazeutischen Formulierungen</w:t>
      </w:r>
    </w:p>
    <w:p>
      <w:pPr>
        <w:jc w:val="both"/>
      </w:pPr>
      <w:r>
        <w:rPr/>
        <w:t xml:space="preserve">2. Die Methode ist einfach, schnell und genau</w:t>
      </w:r>
    </w:p>
    <w:p>
      <w:pPr>
        <w:jc w:val="both"/>
      </w:pPr>
      <w:r>
        <w:rPr/>
        <w:t xml:space="preserve">3. Die Methode kann für die Qualitätskontrolle von pharmazeutischen Produkten verwendet werden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Der Artikel mit dem Titel "An Isocratic HPLC Method for the Determination of Sorbitol and Glycerol in Pharmaceutical Formulations" von Simonzadeh und Ronsen, veröffentlicht im Journal of Chromatographic Science, beschreibt eine Methode zur Bestimmung von Sorbitol und Glycerin in pharmazeutischen Formulierungen. Der Artikel ist gut strukturiert und bietet eine detaillierte Beschreibung der verwendeten Methode sowie der Ergebnisse.</w:t>
      </w:r>
    </w:p>
    <w:p>
      <w:pPr>
        <w:jc w:val="both"/>
      </w:pPr>
      <w:r>
        <w:rPr/>
        <w:t xml:space="preserve"/>
      </w:r>
    </w:p>
    <w:p>
      <w:pPr>
        <w:jc w:val="both"/>
      </w:pPr>
      <w:r>
        <w:rPr/>
        <w:t xml:space="preserve">Eine mögliche Vorurteilsquelle könnte darin bestehen, dass die Autoren nur eine bestimmte Methode zur Analyse von Sorbitol und Glycerin verwenden und andere Methoden nicht berücksichtigen. Es ist jedoch zu beachten, dass dies ein spezifischer Artikel über eine bestimmte Methode ist und nicht als umfassende Überprüfung aller verfügbaren Methoden gedacht ist.</w:t>
      </w:r>
    </w:p>
    <w:p>
      <w:pPr>
        <w:jc w:val="both"/>
      </w:pPr>
      <w:r>
        <w:rPr/>
        <w:t xml:space="preserve"/>
      </w:r>
    </w:p>
    <w:p>
      <w:pPr>
        <w:jc w:val="both"/>
      </w:pPr>
      <w:r>
        <w:rPr/>
        <w:t xml:space="preserve">Es gibt keine Anzeichen für einseitige Berichterstattung oder nicht unterstützte Behauptungen in diesem Artikel. Die Autoren haben ihre Ergebnisse sorgfältig dokumentiert und diskutiert.</w:t>
      </w:r>
    </w:p>
    <w:p>
      <w:pPr>
        <w:jc w:val="both"/>
      </w:pPr>
      <w:r>
        <w:rPr/>
        <w:t xml:space="preserve"/>
      </w:r>
    </w:p>
    <w:p>
      <w:pPr>
        <w:jc w:val="both"/>
      </w:pPr>
      <w:r>
        <w:rPr/>
        <w:t xml:space="preserve">Es gibt auch keine offensichtlichen fehlenden Überlegungen oder fehlenden Beweise für die aufgestellten Behauptungen. Die Autoren haben ihre Ergebnisse durch statistische Analysen gestützt und diskutieren auch mögliche Fehlerquellen ihrer Methode.</w:t>
      </w:r>
    </w:p>
    <w:p>
      <w:pPr>
        <w:jc w:val="both"/>
      </w:pPr>
      <w:r>
        <w:rPr/>
        <w:t xml:space="preserve"/>
      </w:r>
    </w:p>
    <w:p>
      <w:pPr>
        <w:jc w:val="both"/>
      </w:pPr>
      <w:r>
        <w:rPr/>
        <w:t xml:space="preserve">Es gibt keine unerforschten Gegenargumente oder Werbeinhalte in diesem Artikel. Die Autoren haben sich auf die wissenschaftlichen Fakten konzentriert und ihre Ergebnisse objektiv präsentiert.</w:t>
      </w:r>
    </w:p>
    <w:p>
      <w:pPr>
        <w:jc w:val="both"/>
      </w:pPr>
      <w:r>
        <w:rPr/>
        <w:t xml:space="preserve"/>
      </w:r>
    </w:p>
    <w:p>
      <w:pPr>
        <w:jc w:val="both"/>
      </w:pPr>
      <w:r>
        <w:rPr/>
        <w:t xml:space="preserve">Es gibt keine Anzeichen für Befangenheit oder mangelnde Erkennung möglicher Risiken in diesem Artikel. Die Autoren haben ihre Ergebnisse sorgfältig diskutiert und mögliche Risiken im Zusammenhang mit ihrer Methode berücksichtigt.</w:t>
      </w:r>
    </w:p>
    <w:p>
      <w:pPr>
        <w:jc w:val="both"/>
      </w:pPr>
      <w:r>
        <w:rPr/>
        <w:t xml:space="preserve"/>
      </w:r>
    </w:p>
    <w:p>
      <w:pPr>
        <w:jc w:val="both"/>
      </w:pPr>
      <w:r>
        <w:rPr/>
        <w:t xml:space="preserve">Es gibt keine Anzeichen dafür, dass nicht beide Seiten gleich dargestellt werden. Der Artikel konzentriert sich auf die Beschreibung einer bestimmten Methode zur Analyse von Sorbitol und Glycerin und ist nicht als umfassende Überprüfung aller verfügbaren Methoden gedacht.</w:t>
      </w:r>
    </w:p>
    <w:p>
      <w:pPr>
        <w:jc w:val="both"/>
      </w:pPr>
      <w:r>
        <w:rPr/>
        <w:t xml:space="preserve"/>
      </w:r>
    </w:p>
    <w:p>
      <w:pPr>
        <w:jc w:val="both"/>
      </w:pPr>
      <w:r>
        <w:rPr/>
        <w:t xml:space="preserve">Insgesamt ist dieser Artikel eine gut geschriebene und objektive Beschreibung einer spezifischen Methode zur Analyse von Sorbitol und Glycerin in pharmazeutischen Formulierungen. Es gibt keine offensichtlichen Vorurteile oder einseitige Berichterstattung, und die Autoren haben ihre Ergebnisse sorgfältig dokumentiert und diskutiert.</w:t>
      </w:r>
    </w:p>
    <w:p>
      <w:pPr>
        <w:pStyle w:val="Heading1"/>
      </w:pPr>
      <w:bookmarkStart w:id="5" w:name="_Toc5"/>
      <w:r>
        <w:t>Topics for further research:</w:t>
      </w:r>
      <w:bookmarkEnd w:id="5"/>
    </w:p>
    <w:p>
      <w:pPr>
        <w:spacing w:after="0"/>
        <w:numPr>
          <w:ilvl w:val="0"/>
          <w:numId w:val="2"/>
        </w:numPr>
      </w:pPr>
      <w:r>
        <w:rPr/>
        <w:t xml:space="preserve">Alternative Methoden zur Analyse von Sorbitol und Glycerin in pharmazeutischen Formulierungen
</w:t>
      </w:r>
    </w:p>
    <w:p>
      <w:pPr>
        <w:spacing w:after="0"/>
        <w:numPr>
          <w:ilvl w:val="0"/>
          <w:numId w:val="2"/>
        </w:numPr>
      </w:pPr>
      <w:r>
        <w:rPr/>
        <w:t xml:space="preserve">Die Rolle von Sorbitol und Glycerin in der pharmazeutischen Industrie
</w:t>
      </w:r>
    </w:p>
    <w:p>
      <w:pPr>
        <w:spacing w:after="0"/>
        <w:numPr>
          <w:ilvl w:val="0"/>
          <w:numId w:val="2"/>
        </w:numPr>
      </w:pPr>
      <w:r>
        <w:rPr/>
        <w:t xml:space="preserve">Mögliche Auswirkungen von Sorbitol und Glycerin auf die menschliche Gesundheit
</w:t>
      </w:r>
    </w:p>
    <w:p>
      <w:pPr>
        <w:spacing w:after="0"/>
        <w:numPr>
          <w:ilvl w:val="0"/>
          <w:numId w:val="2"/>
        </w:numPr>
      </w:pPr>
      <w:r>
        <w:rPr/>
        <w:t xml:space="preserve">Unterschiede zwischen Sorbitol und Glycerin in Bezug auf ihre Verwendung in der Pharmazie
</w:t>
      </w:r>
    </w:p>
    <w:p>
      <w:pPr>
        <w:spacing w:after="0"/>
        <w:numPr>
          <w:ilvl w:val="0"/>
          <w:numId w:val="2"/>
        </w:numPr>
      </w:pPr>
      <w:r>
        <w:rPr/>
        <w:t xml:space="preserve">Die Bedeutung von Isokratischer HPLC in der pharmazeutischen Analyse
</w:t>
      </w:r>
    </w:p>
    <w:p>
      <w:pPr>
        <w:numPr>
          <w:ilvl w:val="0"/>
          <w:numId w:val="2"/>
        </w:numPr>
      </w:pPr>
      <w:r>
        <w:rPr/>
        <w:t xml:space="preserve">Die Verwendung von Sorbitol und Glycerin in anderen Branchen außerhalb der Pharmazie</w:t>
      </w:r>
    </w:p>
    <w:p>
      <w:pPr>
        <w:pStyle w:val="Heading1"/>
      </w:pPr>
      <w:bookmarkStart w:id="6" w:name="_Toc6"/>
      <w:r>
        <w:t>Report location:</w:t>
      </w:r>
      <w:bookmarkEnd w:id="6"/>
    </w:p>
    <w:p>
      <w:hyperlink r:id="rId8" w:history="1">
        <w:r>
          <w:rPr>
            <w:color w:val="2980b9"/>
            <w:u w:val="single"/>
          </w:rPr>
          <w:t xml:space="preserve">https://www.fullpicture.app/item/960d202cfd9e369b0f0e7c5c4553dbee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261E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093/chromsci/bms044" TargetMode="External"/><Relationship Id="rId8" Type="http://schemas.openxmlformats.org/officeDocument/2006/relationships/hyperlink" Target="https://www.fullpicture.app/item/960d202cfd9e369b0f0e7c5c4553db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2024-01-09T17:26:09+01:00</dcterms:created>
  <dcterms:modified xsi:type="dcterms:W3CDTF">2024-01-09T17:26:09+01:00</dcterms:modified>
</cp:coreProperties>
</file>

<file path=docProps/custom.xml><?xml version="1.0" encoding="utf-8"?>
<Properties xmlns="http://schemas.openxmlformats.org/officeDocument/2006/custom-properties" xmlns:vt="http://schemas.openxmlformats.org/officeDocument/2006/docPropsVTypes"/>
</file>