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Direct coupling of dual-horizon peridynamics with finite elements for irregular discretization without an overlap zone | SpringerLink</w:t>
      </w:r>
      <w:br/>
      <w:hyperlink r:id="rId7" w:history="1">
        <w:r>
          <w:rPr>
            <w:color w:val="2980b9"/>
            <w:u w:val="single"/>
          </w:rPr>
          <w:t xml:space="preserve">https://link.springer.com/article/10.1007/s00366-023-01800-3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本文介绍了一种将双视野Peridynamics与有限元直接耦合的方法，用于不规则离散化而无需重叠区域。</w:t>
      </w:r>
    </w:p>
    <w:p>
      <w:pPr>
        <w:jc w:val="both"/>
      </w:pPr>
      <w:r>
        <w:rPr/>
        <w:t xml:space="preserve">2. 文章引用了多个相关研究，包括弹性理论的改进、Peridynamics状态和本构建模、可变视野在Peridynamic介质中的应用等。</w:t>
      </w:r>
    </w:p>
    <w:p>
      <w:pPr>
        <w:jc w:val="both"/>
      </w:pPr>
      <w:r>
        <w:rPr/>
        <w:t xml:space="preserve">3. 本文提出的方法可以在非均匀离散化领域进行热力学Peridynamic分析，并且使用有限元实现了具有可变视野的普通状态Peridynamics。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对于上述文章的详细批判性分析，需要先了解该文章的内容和目的。然而，由于只提供了文章的标题和引用列表，并没有给出具体的摘要或正文内容，因此无法进行详细的分析和评价。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根据引用列表中列出的几篇相关研究论文，可以推测该文章可能是关于将双视域Peridynamics与有限元方法进行直接耦合以实现不规则离散化的研究。然而，在没有具体内容的情况下，很难对其潜在偏见、片面报道、无根据的主张、缺失的考虑点、所提出主张的缺失证据、未探索的反驳、宣传内容等进行评估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要进行批判性分析，需要对文章中提出的观点和结论进行评估，并与相关领域内其他研究结果进行比较。还需要考虑作者可能存在的利益冲突或偏见，并检查他们是否充分考虑了可能存在的风险和不确定性。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总之，在没有具体内容支持的情况下，无法对上述文章进行详细批判性分析。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双视域Peridynamics与有限元方法直接耦合
</w:t>
      </w:r>
    </w:p>
    <w:p>
      <w:pPr>
        <w:spacing w:after="0"/>
        <w:numPr>
          <w:ilvl w:val="0"/>
          <w:numId w:val="2"/>
        </w:numPr>
      </w:pPr>
      <w:r>
        <w:rPr/>
        <w:t xml:space="preserve">不规则离散化
</w:t>
      </w:r>
    </w:p>
    <w:p>
      <w:pPr>
        <w:spacing w:after="0"/>
        <w:numPr>
          <w:ilvl w:val="0"/>
          <w:numId w:val="2"/>
        </w:numPr>
      </w:pPr>
      <w:r>
        <w:rPr/>
        <w:t xml:space="preserve">潜在偏见
</w:t>
      </w:r>
    </w:p>
    <w:p>
      <w:pPr>
        <w:spacing w:after="0"/>
        <w:numPr>
          <w:ilvl w:val="0"/>
          <w:numId w:val="2"/>
        </w:numPr>
      </w:pPr>
      <w:r>
        <w:rPr/>
        <w:t xml:space="preserve">片面报道
</w:t>
      </w:r>
    </w:p>
    <w:p>
      <w:pPr>
        <w:spacing w:after="0"/>
        <w:numPr>
          <w:ilvl w:val="0"/>
          <w:numId w:val="2"/>
        </w:numPr>
      </w:pPr>
      <w:r>
        <w:rPr/>
        <w:t xml:space="preserve">无根据的主张
</w:t>
      </w:r>
    </w:p>
    <w:p>
      <w:pPr>
        <w:numPr>
          <w:ilvl w:val="0"/>
          <w:numId w:val="2"/>
        </w:numPr>
      </w:pPr>
      <w:r>
        <w:rPr/>
        <w:t xml:space="preserve">利益冲突或偏见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https://www.fullpicture.app/item/95ecfb6523d2a2e02e6d0201ea7e830b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9A4429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ink.springer.com/article/10.1007/s00366-023-01800-3" TargetMode="External"/><Relationship Id="rId8" Type="http://schemas.openxmlformats.org/officeDocument/2006/relationships/hyperlink" Target="https://www.fullpicture.app/item/95ecfb6523d2a2e02e6d0201ea7e830b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2023-07-29T11:33:46+02:00</dcterms:created>
  <dcterms:modified xsi:type="dcterms:W3CDTF">2023-07-29T11:33:46+02:00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